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027909">
      <w:pPr>
        <w:pStyle w:val="7"/>
        <w:spacing w:before="76" w:after="1"/>
        <w:ind w:left="0"/>
        <w:jc w:val="left"/>
        <w:rPr>
          <w:rFonts w:ascii="Times New Roman"/>
          <w:sz w:val="20"/>
        </w:rPr>
      </w:pPr>
    </w:p>
    <w:tbl>
      <w:tblPr>
        <w:tblStyle w:val="5"/>
        <w:tblW w:w="0" w:type="auto"/>
        <w:tblInd w:w="37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03"/>
        <w:gridCol w:w="3971"/>
        <w:gridCol w:w="3445"/>
      </w:tblGrid>
      <w:tr w14:paraId="46C3E1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2403" w:type="dxa"/>
            <w:shd w:val="clear" w:color="auto" w:fill="D9D9D9"/>
          </w:tcPr>
          <w:p w14:paraId="2D79BB9C">
            <w:pPr>
              <w:pStyle w:val="10"/>
              <w:spacing w:before="70" w:line="252" w:lineRule="exact"/>
              <w:ind w:left="674" w:hanging="39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Procedimiento</w:t>
            </w:r>
            <w:r>
              <w:rPr>
                <w:rFonts w:ascii="Arial"/>
                <w:b/>
                <w:spacing w:val="-16"/>
                <w:sz w:val="22"/>
              </w:rPr>
              <w:t xml:space="preserve"> </w:t>
            </w:r>
            <w:r>
              <w:rPr>
                <w:rFonts w:ascii="Arial"/>
                <w:b/>
                <w:sz w:val="22"/>
              </w:rPr>
              <w:t xml:space="preserve">de </w:t>
            </w:r>
            <w:r>
              <w:rPr>
                <w:rFonts w:ascii="Arial"/>
                <w:b/>
                <w:spacing w:val="-2"/>
                <w:sz w:val="22"/>
              </w:rPr>
              <w:t>referencia</w:t>
            </w:r>
          </w:p>
        </w:tc>
        <w:tc>
          <w:tcPr>
            <w:tcW w:w="3971" w:type="dxa"/>
            <w:shd w:val="clear" w:color="auto" w:fill="D9D9D9"/>
          </w:tcPr>
          <w:p w14:paraId="63350E00">
            <w:pPr>
              <w:pStyle w:val="10"/>
              <w:spacing w:before="216"/>
              <w:ind w:left="9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Objetivo</w:t>
            </w:r>
          </w:p>
        </w:tc>
        <w:tc>
          <w:tcPr>
            <w:tcW w:w="3445" w:type="dxa"/>
            <w:shd w:val="clear" w:color="auto" w:fill="D9D9D9"/>
          </w:tcPr>
          <w:p w14:paraId="0E16EF59">
            <w:pPr>
              <w:pStyle w:val="10"/>
              <w:spacing w:before="216"/>
              <w:ind w:left="7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Alcance</w:t>
            </w:r>
          </w:p>
        </w:tc>
      </w:tr>
      <w:tr w14:paraId="3B4FCE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9" w:hRule="atLeast"/>
        </w:trPr>
        <w:tc>
          <w:tcPr>
            <w:tcW w:w="2403" w:type="dxa"/>
          </w:tcPr>
          <w:p w14:paraId="2AB2B1ED">
            <w:pPr>
              <w:pStyle w:val="10"/>
              <w:spacing w:before="92"/>
              <w:ind w:left="787"/>
              <w:rPr>
                <w:sz w:val="22"/>
              </w:rPr>
            </w:pPr>
            <w:r>
              <w:rPr>
                <w:sz w:val="22"/>
              </w:rPr>
              <w:t>No</w:t>
            </w:r>
            <w:r>
              <w:rPr>
                <w:spacing w:val="-2"/>
                <w:sz w:val="22"/>
              </w:rPr>
              <w:t xml:space="preserve"> aplica</w:t>
            </w:r>
          </w:p>
        </w:tc>
        <w:tc>
          <w:tcPr>
            <w:tcW w:w="3971" w:type="dxa"/>
          </w:tcPr>
          <w:p w14:paraId="04068CE2">
            <w:pPr>
              <w:pStyle w:val="10"/>
              <w:spacing w:before="95" w:line="237" w:lineRule="auto"/>
              <w:ind w:left="107" w:right="97"/>
              <w:jc w:val="both"/>
              <w:rPr>
                <w:sz w:val="22"/>
              </w:rPr>
            </w:pPr>
            <w:r>
              <w:rPr>
                <w:sz w:val="22"/>
              </w:rPr>
              <w:t>Describir las actividades para realizar adquisiciones de los bienes y servicios requeridos por las diferentes áreas del Instituto Tecnológico.</w:t>
            </w:r>
          </w:p>
        </w:tc>
        <w:tc>
          <w:tcPr>
            <w:tcW w:w="3445" w:type="dxa"/>
          </w:tcPr>
          <w:p w14:paraId="6BCD8578">
            <w:pPr>
              <w:pStyle w:val="10"/>
              <w:spacing w:before="95" w:line="237" w:lineRule="auto"/>
              <w:ind w:left="107" w:right="94"/>
              <w:jc w:val="both"/>
              <w:rPr>
                <w:sz w:val="22"/>
              </w:rPr>
            </w:pPr>
            <w:r>
              <w:rPr>
                <w:sz w:val="22"/>
              </w:rPr>
              <w:t>Desde la solicitud de cotización y recepción de la requisición de compra hasta la entrega y conformidad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por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el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área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requirente.</w:t>
            </w:r>
          </w:p>
        </w:tc>
      </w:tr>
    </w:tbl>
    <w:p w14:paraId="290678CE">
      <w:pPr>
        <w:pStyle w:val="2"/>
        <w:numPr>
          <w:ilvl w:val="0"/>
          <w:numId w:val="1"/>
        </w:numPr>
        <w:tabs>
          <w:tab w:val="left" w:pos="1757"/>
        </w:tabs>
        <w:spacing w:before="231" w:after="0" w:line="240" w:lineRule="auto"/>
        <w:ind w:left="1757" w:right="0" w:hanging="415"/>
        <w:jc w:val="left"/>
        <w:rPr>
          <w:sz w:val="20"/>
        </w:rPr>
      </w:pPr>
      <w:r>
        <w:rPr>
          <w:spacing w:val="-2"/>
        </w:rPr>
        <w:t>Actividades</w:t>
      </w:r>
    </w:p>
    <w:p w14:paraId="561B3762">
      <w:pPr>
        <w:pStyle w:val="9"/>
        <w:numPr>
          <w:ilvl w:val="0"/>
          <w:numId w:val="2"/>
        </w:numPr>
        <w:tabs>
          <w:tab w:val="left" w:pos="1071"/>
          <w:tab w:val="left" w:pos="1073"/>
        </w:tabs>
        <w:spacing w:before="233" w:after="0" w:line="240" w:lineRule="auto"/>
        <w:ind w:left="1073" w:right="628" w:hanging="360"/>
        <w:jc w:val="both"/>
        <w:rPr>
          <w:sz w:val="22"/>
        </w:rPr>
      </w:pPr>
      <w:r>
        <w:rPr>
          <w:sz w:val="22"/>
        </w:rPr>
        <w:t>La compra de bienes</w:t>
      </w:r>
      <w:r>
        <w:rPr>
          <w:spacing w:val="-1"/>
          <w:sz w:val="22"/>
        </w:rPr>
        <w:t xml:space="preserve"> </w:t>
      </w:r>
      <w:r>
        <w:rPr>
          <w:sz w:val="22"/>
        </w:rPr>
        <w:t>y servicios para</w:t>
      </w:r>
      <w:r>
        <w:rPr>
          <w:spacing w:val="-2"/>
          <w:sz w:val="22"/>
        </w:rPr>
        <w:t xml:space="preserve"> </w:t>
      </w:r>
      <w:r>
        <w:rPr>
          <w:sz w:val="22"/>
        </w:rPr>
        <w:t>el Instituto Tecnológico lo realiza la</w:t>
      </w:r>
      <w:r>
        <w:rPr>
          <w:spacing w:val="-2"/>
          <w:sz w:val="22"/>
        </w:rPr>
        <w:t xml:space="preserve"> </w:t>
      </w:r>
      <w:r>
        <w:rPr>
          <w:sz w:val="22"/>
        </w:rPr>
        <w:t>Oficina</w:t>
      </w:r>
      <w:r>
        <w:rPr>
          <w:spacing w:val="-2"/>
          <w:sz w:val="22"/>
        </w:rPr>
        <w:t xml:space="preserve"> </w:t>
      </w:r>
      <w:r>
        <w:rPr>
          <w:sz w:val="22"/>
        </w:rPr>
        <w:t>de Adquisiciones del Departamento de Recursos Materiales y Servicios.</w:t>
      </w:r>
    </w:p>
    <w:p w14:paraId="1247D76C">
      <w:pPr>
        <w:pStyle w:val="9"/>
        <w:numPr>
          <w:ilvl w:val="0"/>
          <w:numId w:val="2"/>
        </w:numPr>
        <w:tabs>
          <w:tab w:val="left" w:pos="1071"/>
          <w:tab w:val="left" w:pos="1073"/>
        </w:tabs>
        <w:spacing w:before="231" w:after="0" w:line="240" w:lineRule="auto"/>
        <w:ind w:left="1073" w:right="598" w:hanging="360"/>
        <w:jc w:val="both"/>
        <w:rPr>
          <w:sz w:val="22"/>
        </w:rPr>
      </w:pPr>
      <w:r>
        <w:rPr>
          <w:sz w:val="22"/>
        </w:rPr>
        <w:t xml:space="preserve">El área solicitante comunica requerimiento a la Oficina de Adquisiciones y ésta solicita cotizaciones a proveedores registrados en el Catálogo de Proveedores </w:t>
      </w:r>
      <w:r>
        <w:rPr>
          <w:b/>
          <w:sz w:val="22"/>
        </w:rPr>
        <w:t>ITPAC-AD-FO-04</w:t>
      </w:r>
      <w:r>
        <w:rPr>
          <w:sz w:val="22"/>
        </w:rPr>
        <w:t xml:space="preserve">, previamente evaluados, seleccionados y/o revaluados por la oficina de adquisiciones del Departamento de Recursos Materiales y Servicios, en los registros para selección de proveedores </w:t>
      </w:r>
      <w:r>
        <w:rPr>
          <w:b/>
          <w:sz w:val="22"/>
        </w:rPr>
        <w:t xml:space="preserve">ITPAC-AD-FO-01 </w:t>
      </w:r>
      <w:r>
        <w:rPr>
          <w:sz w:val="22"/>
        </w:rPr>
        <w:t xml:space="preserve">y para evaluación y reevaluación de proveedores </w:t>
      </w:r>
      <w:r>
        <w:rPr>
          <w:b/>
          <w:sz w:val="22"/>
        </w:rPr>
        <w:t>ITPAC-AD-FO-02</w:t>
      </w:r>
      <w:r>
        <w:rPr>
          <w:sz w:val="22"/>
        </w:rPr>
        <w:t>.</w:t>
      </w:r>
    </w:p>
    <w:p w14:paraId="28C95337">
      <w:pPr>
        <w:pStyle w:val="9"/>
        <w:numPr>
          <w:ilvl w:val="0"/>
          <w:numId w:val="2"/>
        </w:numPr>
        <w:tabs>
          <w:tab w:val="left" w:pos="1071"/>
          <w:tab w:val="left" w:pos="1073"/>
        </w:tabs>
        <w:spacing w:before="220" w:after="0" w:line="240" w:lineRule="auto"/>
        <w:ind w:left="1073" w:right="601" w:hanging="360"/>
        <w:jc w:val="both"/>
        <w:rPr>
          <w:sz w:val="22"/>
        </w:rPr>
      </w:pPr>
      <w:r>
        <w:rPr>
          <w:spacing w:val="-4"/>
          <w:sz w:val="22"/>
        </w:rPr>
        <w:t>El</w:t>
      </w:r>
      <w:r>
        <w:rPr>
          <w:spacing w:val="-8"/>
          <w:sz w:val="22"/>
        </w:rPr>
        <w:t xml:space="preserve"> </w:t>
      </w:r>
      <w:r>
        <w:rPr>
          <w:spacing w:val="-4"/>
          <w:sz w:val="22"/>
        </w:rPr>
        <w:t>área</w:t>
      </w:r>
      <w:r>
        <w:rPr>
          <w:sz w:val="22"/>
        </w:rPr>
        <w:t xml:space="preserve"> </w:t>
      </w:r>
      <w:r>
        <w:rPr>
          <w:spacing w:val="-4"/>
          <w:sz w:val="22"/>
        </w:rPr>
        <w:t>solicitante,</w:t>
      </w:r>
      <w:r>
        <w:rPr>
          <w:sz w:val="22"/>
        </w:rPr>
        <w:t xml:space="preserve"> </w:t>
      </w:r>
      <w:r>
        <w:rPr>
          <w:spacing w:val="-4"/>
          <w:sz w:val="22"/>
        </w:rPr>
        <w:t>de acuerdo a la cotización enviada por</w:t>
      </w:r>
      <w:r>
        <w:rPr>
          <w:spacing w:val="-5"/>
          <w:sz w:val="22"/>
        </w:rPr>
        <w:t xml:space="preserve"> </w:t>
      </w:r>
      <w:r>
        <w:rPr>
          <w:spacing w:val="-4"/>
          <w:sz w:val="22"/>
        </w:rPr>
        <w:t>la</w:t>
      </w:r>
      <w:r>
        <w:rPr>
          <w:spacing w:val="-5"/>
          <w:sz w:val="22"/>
        </w:rPr>
        <w:t xml:space="preserve"> </w:t>
      </w:r>
      <w:r>
        <w:rPr>
          <w:spacing w:val="-4"/>
          <w:sz w:val="22"/>
        </w:rPr>
        <w:t>Oficina de Adquisiciones, llena en</w:t>
      </w:r>
      <w:r>
        <w:rPr>
          <w:spacing w:val="-9"/>
          <w:sz w:val="22"/>
        </w:rPr>
        <w:t xml:space="preserve"> </w:t>
      </w:r>
      <w:r>
        <w:rPr>
          <w:spacing w:val="-4"/>
          <w:sz w:val="22"/>
        </w:rPr>
        <w:t>el</w:t>
      </w:r>
      <w:r>
        <w:rPr>
          <w:spacing w:val="-8"/>
          <w:sz w:val="22"/>
        </w:rPr>
        <w:t xml:space="preserve"> </w:t>
      </w:r>
      <w:r>
        <w:rPr>
          <w:spacing w:val="-4"/>
          <w:sz w:val="22"/>
        </w:rPr>
        <w:t xml:space="preserve">SISAD </w:t>
      </w:r>
      <w:r>
        <w:rPr>
          <w:sz w:val="22"/>
        </w:rPr>
        <w:t>el</w:t>
      </w:r>
      <w:r>
        <w:rPr>
          <w:spacing w:val="-1"/>
          <w:sz w:val="22"/>
        </w:rPr>
        <w:t xml:space="preserve"> </w:t>
      </w:r>
      <w:r>
        <w:rPr>
          <w:sz w:val="22"/>
        </w:rPr>
        <w:t>Formato para</w:t>
      </w:r>
      <w:r>
        <w:rPr>
          <w:spacing w:val="-1"/>
          <w:sz w:val="22"/>
        </w:rPr>
        <w:t xml:space="preserve"> </w:t>
      </w:r>
      <w:r>
        <w:rPr>
          <w:sz w:val="22"/>
        </w:rPr>
        <w:t>Requisición de Bienes y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Servicios </w:t>
      </w:r>
      <w:r>
        <w:rPr>
          <w:b/>
          <w:sz w:val="22"/>
        </w:rPr>
        <w:t>ITPAC- AD-FO-03</w:t>
      </w:r>
      <w:r>
        <w:rPr>
          <w:sz w:val="22"/>
        </w:rPr>
        <w:t xml:space="preserve">, especificando claramente los </w:t>
      </w:r>
      <w:r>
        <w:rPr>
          <w:spacing w:val="-2"/>
          <w:sz w:val="22"/>
        </w:rPr>
        <w:t>requisitos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de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compra,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recaban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las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firmas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correspondientes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y</w:t>
      </w:r>
      <w:r>
        <w:rPr>
          <w:spacing w:val="-10"/>
          <w:sz w:val="22"/>
        </w:rPr>
        <w:t xml:space="preserve"> </w:t>
      </w:r>
      <w:r>
        <w:rPr>
          <w:spacing w:val="-2"/>
          <w:sz w:val="22"/>
        </w:rPr>
        <w:t>lo</w:t>
      </w:r>
      <w:r>
        <w:rPr>
          <w:spacing w:val="-8"/>
          <w:sz w:val="22"/>
        </w:rPr>
        <w:t xml:space="preserve"> </w:t>
      </w:r>
      <w:r>
        <w:rPr>
          <w:spacing w:val="-2"/>
          <w:sz w:val="22"/>
        </w:rPr>
        <w:t>entregan</w:t>
      </w:r>
      <w:r>
        <w:rPr>
          <w:spacing w:val="-8"/>
          <w:sz w:val="22"/>
        </w:rPr>
        <w:t xml:space="preserve"> </w:t>
      </w:r>
      <w:r>
        <w:rPr>
          <w:spacing w:val="-2"/>
          <w:sz w:val="22"/>
        </w:rPr>
        <w:t>a</w:t>
      </w:r>
      <w:r>
        <w:rPr>
          <w:spacing w:val="-10"/>
          <w:sz w:val="22"/>
        </w:rPr>
        <w:t xml:space="preserve"> </w:t>
      </w:r>
      <w:r>
        <w:rPr>
          <w:spacing w:val="-2"/>
          <w:sz w:val="22"/>
        </w:rPr>
        <w:t>la</w:t>
      </w:r>
      <w:r>
        <w:rPr>
          <w:spacing w:val="-10"/>
          <w:sz w:val="22"/>
        </w:rPr>
        <w:t xml:space="preserve"> </w:t>
      </w:r>
      <w:r>
        <w:rPr>
          <w:spacing w:val="-2"/>
          <w:sz w:val="22"/>
        </w:rPr>
        <w:t>oficina</w:t>
      </w:r>
      <w:r>
        <w:rPr>
          <w:spacing w:val="-8"/>
          <w:sz w:val="22"/>
        </w:rPr>
        <w:t xml:space="preserve"> </w:t>
      </w:r>
      <w:r>
        <w:rPr>
          <w:spacing w:val="-2"/>
          <w:sz w:val="22"/>
        </w:rPr>
        <w:t>de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 xml:space="preserve">adquisiciones </w:t>
      </w:r>
      <w:r>
        <w:rPr>
          <w:sz w:val="22"/>
        </w:rPr>
        <w:t>del</w:t>
      </w:r>
      <w:r>
        <w:rPr>
          <w:spacing w:val="-3"/>
          <w:sz w:val="22"/>
        </w:rPr>
        <w:t xml:space="preserve"> </w:t>
      </w:r>
      <w:r>
        <w:rPr>
          <w:sz w:val="22"/>
        </w:rPr>
        <w:t>Departamento</w:t>
      </w:r>
      <w:r>
        <w:rPr>
          <w:spacing w:val="-3"/>
          <w:sz w:val="22"/>
        </w:rPr>
        <w:t xml:space="preserve"> </w:t>
      </w:r>
      <w:r>
        <w:rPr>
          <w:sz w:val="22"/>
        </w:rPr>
        <w:t>de</w:t>
      </w:r>
      <w:r>
        <w:rPr>
          <w:spacing w:val="-3"/>
          <w:sz w:val="22"/>
        </w:rPr>
        <w:t xml:space="preserve"> </w:t>
      </w:r>
      <w:r>
        <w:rPr>
          <w:sz w:val="22"/>
        </w:rPr>
        <w:t>Recursos Materiales</w:t>
      </w:r>
      <w:r>
        <w:rPr>
          <w:spacing w:val="-1"/>
          <w:sz w:val="22"/>
        </w:rPr>
        <w:t xml:space="preserve"> </w:t>
      </w:r>
      <w:r>
        <w:rPr>
          <w:sz w:val="22"/>
        </w:rPr>
        <w:t>y</w:t>
      </w:r>
      <w:r>
        <w:rPr>
          <w:spacing w:val="-3"/>
          <w:sz w:val="22"/>
        </w:rPr>
        <w:t xml:space="preserve"> </w:t>
      </w:r>
      <w:r>
        <w:rPr>
          <w:sz w:val="22"/>
        </w:rPr>
        <w:t>Servicios</w:t>
      </w:r>
      <w:r>
        <w:rPr>
          <w:spacing w:val="-4"/>
          <w:sz w:val="22"/>
        </w:rPr>
        <w:t xml:space="preserve"> </w:t>
      </w:r>
      <w:r>
        <w:rPr>
          <w:sz w:val="22"/>
        </w:rPr>
        <w:t>del</w:t>
      </w:r>
      <w:r>
        <w:rPr>
          <w:spacing w:val="-3"/>
          <w:sz w:val="22"/>
        </w:rPr>
        <w:t xml:space="preserve"> </w:t>
      </w:r>
      <w:r>
        <w:rPr>
          <w:sz w:val="22"/>
        </w:rPr>
        <w:t>Instituto</w:t>
      </w:r>
      <w:r>
        <w:rPr>
          <w:spacing w:val="-2"/>
          <w:sz w:val="22"/>
        </w:rPr>
        <w:t xml:space="preserve"> </w:t>
      </w:r>
      <w:r>
        <w:rPr>
          <w:sz w:val="22"/>
        </w:rPr>
        <w:t>Tecnológico.</w:t>
      </w:r>
    </w:p>
    <w:p w14:paraId="5F407457">
      <w:pPr>
        <w:pStyle w:val="9"/>
        <w:numPr>
          <w:ilvl w:val="0"/>
          <w:numId w:val="2"/>
        </w:numPr>
        <w:tabs>
          <w:tab w:val="left" w:pos="1071"/>
          <w:tab w:val="left" w:pos="1073"/>
        </w:tabs>
        <w:spacing w:before="243" w:after="0" w:line="240" w:lineRule="auto"/>
        <w:ind w:left="1073" w:right="606" w:hanging="360"/>
        <w:jc w:val="both"/>
        <w:rPr>
          <w:sz w:val="22"/>
        </w:rPr>
      </w:pPr>
      <w:r>
        <w:rPr>
          <w:sz w:val="22"/>
        </w:rPr>
        <w:t>La</w:t>
      </w:r>
      <w:r>
        <w:rPr>
          <w:spacing w:val="-1"/>
          <w:sz w:val="22"/>
        </w:rPr>
        <w:t xml:space="preserve"> </w:t>
      </w:r>
      <w:r>
        <w:rPr>
          <w:sz w:val="22"/>
        </w:rPr>
        <w:t>Oficina de adquisiciones asigna la orden</w:t>
      </w:r>
      <w:r>
        <w:rPr>
          <w:spacing w:val="40"/>
          <w:sz w:val="22"/>
        </w:rPr>
        <w:t xml:space="preserve"> </w:t>
      </w:r>
      <w:r>
        <w:rPr>
          <w:sz w:val="22"/>
        </w:rPr>
        <w:t>de compra (</w:t>
      </w:r>
      <w:r>
        <w:rPr>
          <w:b/>
          <w:sz w:val="22"/>
        </w:rPr>
        <w:t>ITPAC-AD-FO-05)</w:t>
      </w:r>
      <w:r>
        <w:rPr>
          <w:b/>
          <w:spacing w:val="-3"/>
          <w:sz w:val="22"/>
        </w:rPr>
        <w:t xml:space="preserve"> </w:t>
      </w:r>
      <w:r>
        <w:rPr>
          <w:sz w:val="22"/>
        </w:rPr>
        <w:t>al proveedor del bien</w:t>
      </w:r>
      <w:r>
        <w:rPr>
          <w:spacing w:val="-1"/>
          <w:sz w:val="22"/>
        </w:rPr>
        <w:t xml:space="preserve"> </w:t>
      </w:r>
      <w:r>
        <w:rPr>
          <w:sz w:val="22"/>
        </w:rPr>
        <w:t>o servicio y en función del monto de la compra, calidad, precio yservicio.</w:t>
      </w:r>
    </w:p>
    <w:p w14:paraId="374C587A">
      <w:pPr>
        <w:pStyle w:val="7"/>
        <w:spacing w:before="3"/>
        <w:ind w:left="0"/>
        <w:jc w:val="left"/>
      </w:pPr>
    </w:p>
    <w:p w14:paraId="41597A8E">
      <w:pPr>
        <w:pStyle w:val="9"/>
        <w:numPr>
          <w:ilvl w:val="0"/>
          <w:numId w:val="2"/>
        </w:numPr>
        <w:tabs>
          <w:tab w:val="left" w:pos="1071"/>
          <w:tab w:val="left" w:pos="1073"/>
        </w:tabs>
        <w:spacing w:before="0" w:after="0" w:line="240" w:lineRule="auto"/>
        <w:ind w:left="1073" w:right="613" w:hanging="360"/>
        <w:jc w:val="both"/>
        <w:rPr>
          <w:sz w:val="22"/>
        </w:rPr>
      </w:pPr>
      <w:r>
        <w:rPr>
          <w:sz w:val="22"/>
        </w:rPr>
        <w:t>El Departamento de Recursos Materiales y Servicios y la Subdirección de Servicios</w:t>
      </w:r>
      <w:r>
        <w:rPr>
          <w:spacing w:val="80"/>
          <w:sz w:val="22"/>
        </w:rPr>
        <w:t xml:space="preserve"> </w:t>
      </w:r>
      <w:r>
        <w:rPr>
          <w:sz w:val="22"/>
        </w:rPr>
        <w:t>Administrativos a través de la oficina de adquisiciones deben asegurarse de que todas las</w:t>
      </w:r>
      <w:r>
        <w:rPr>
          <w:spacing w:val="40"/>
          <w:sz w:val="22"/>
        </w:rPr>
        <w:t xml:space="preserve"> </w:t>
      </w:r>
      <w:r>
        <w:rPr>
          <w:sz w:val="22"/>
        </w:rPr>
        <w:t>compras</w:t>
      </w:r>
      <w:r>
        <w:rPr>
          <w:spacing w:val="-1"/>
          <w:sz w:val="22"/>
        </w:rPr>
        <w:t xml:space="preserve"> </w:t>
      </w:r>
      <w:r>
        <w:rPr>
          <w:sz w:val="22"/>
        </w:rPr>
        <w:t>se realicen conforme a la normatividad</w:t>
      </w:r>
      <w:r>
        <w:rPr>
          <w:spacing w:val="-2"/>
          <w:sz w:val="22"/>
        </w:rPr>
        <w:t xml:space="preserve"> </w:t>
      </w:r>
      <w:r>
        <w:rPr>
          <w:sz w:val="22"/>
        </w:rPr>
        <w:t>vigente (Ley de</w:t>
      </w:r>
      <w:r>
        <w:rPr>
          <w:spacing w:val="-2"/>
          <w:sz w:val="22"/>
        </w:rPr>
        <w:t xml:space="preserve"> </w:t>
      </w:r>
      <w:r>
        <w:rPr>
          <w:sz w:val="22"/>
        </w:rPr>
        <w:t>Adquisiciones, Arrendamientos y Servicios del Sector Público).</w:t>
      </w:r>
    </w:p>
    <w:p w14:paraId="00FD7696">
      <w:pPr>
        <w:pStyle w:val="9"/>
        <w:numPr>
          <w:ilvl w:val="0"/>
          <w:numId w:val="2"/>
        </w:numPr>
        <w:tabs>
          <w:tab w:val="left" w:pos="1071"/>
          <w:tab w:val="left" w:pos="1073"/>
        </w:tabs>
        <w:spacing w:before="268" w:after="0" w:line="240" w:lineRule="auto"/>
        <w:ind w:left="1073" w:right="610" w:hanging="360"/>
        <w:jc w:val="both"/>
        <w:rPr>
          <w:sz w:val="22"/>
        </w:rPr>
      </w:pPr>
      <w:r>
        <w:rPr>
          <w:sz w:val="22"/>
        </w:rPr>
        <w:t xml:space="preserve">La Oficina de Adquisiciones realiza la compra al proveedor seleccionado del Catálogo de Proveedores Aprobados </w:t>
      </w:r>
      <w:r>
        <w:rPr>
          <w:b/>
          <w:sz w:val="22"/>
        </w:rPr>
        <w:t>ITPAC-AD-FO-04</w:t>
      </w:r>
      <w:r>
        <w:rPr>
          <w:sz w:val="22"/>
        </w:rPr>
        <w:t>, de acuerdo</w:t>
      </w:r>
      <w:r>
        <w:rPr>
          <w:spacing w:val="-1"/>
          <w:sz w:val="22"/>
        </w:rPr>
        <w:t xml:space="preserve"> </w:t>
      </w:r>
      <w:r>
        <w:rPr>
          <w:sz w:val="22"/>
        </w:rPr>
        <w:t>a la Orden de Compra</w:t>
      </w:r>
      <w:r>
        <w:rPr>
          <w:spacing w:val="-1"/>
          <w:sz w:val="22"/>
        </w:rPr>
        <w:t xml:space="preserve"> </w:t>
      </w:r>
      <w:r>
        <w:rPr>
          <w:sz w:val="22"/>
        </w:rPr>
        <w:t>de</w:t>
      </w:r>
      <w:r>
        <w:rPr>
          <w:spacing w:val="-2"/>
          <w:sz w:val="22"/>
        </w:rPr>
        <w:t xml:space="preserve"> </w:t>
      </w:r>
      <w:r>
        <w:rPr>
          <w:sz w:val="22"/>
        </w:rPr>
        <w:t>Bienes o Servicios</w:t>
      </w:r>
    </w:p>
    <w:p w14:paraId="2CD860D4">
      <w:pPr>
        <w:pStyle w:val="7"/>
        <w:spacing w:before="206"/>
        <w:ind w:left="0"/>
        <w:jc w:val="left"/>
        <w:rPr>
          <w:sz w:val="20"/>
        </w:rPr>
      </w:pPr>
    </w:p>
    <w:tbl>
      <w:tblPr>
        <w:tblStyle w:val="5"/>
        <w:tblW w:w="0" w:type="auto"/>
        <w:tblInd w:w="215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85"/>
        <w:gridCol w:w="3312"/>
        <w:gridCol w:w="3478"/>
      </w:tblGrid>
      <w:tr w14:paraId="1F8D042E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" w:hRule="atLeast"/>
        </w:trPr>
        <w:tc>
          <w:tcPr>
            <w:tcW w:w="10175" w:type="dxa"/>
            <w:gridSpan w:val="3"/>
            <w:tcBorders>
              <w:bottom w:val="single" w:color="808080" w:sz="2" w:space="0"/>
            </w:tcBorders>
            <w:shd w:val="clear" w:color="auto" w:fill="D9D9D9"/>
          </w:tcPr>
          <w:p w14:paraId="536DB323">
            <w:pPr>
              <w:pStyle w:val="10"/>
              <w:spacing w:line="217" w:lineRule="exact"/>
              <w:ind w:left="6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CONTROL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EMISIÓN</w:t>
            </w:r>
          </w:p>
        </w:tc>
      </w:tr>
      <w:tr w14:paraId="2639E7AA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3385" w:type="dxa"/>
            <w:tcBorders>
              <w:top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D9D9D9"/>
          </w:tcPr>
          <w:p w14:paraId="40F33666">
            <w:pPr>
              <w:pStyle w:val="10"/>
              <w:spacing w:line="215" w:lineRule="exact"/>
              <w:ind w:left="6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ELABORÓ</w:t>
            </w:r>
          </w:p>
        </w:tc>
        <w:tc>
          <w:tcPr>
            <w:tcW w:w="3312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D9D9D9"/>
          </w:tcPr>
          <w:p w14:paraId="2DD27144">
            <w:pPr>
              <w:pStyle w:val="10"/>
              <w:spacing w:line="215" w:lineRule="exact"/>
              <w:ind w:left="119" w:right="5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REVISÓ</w:t>
            </w:r>
          </w:p>
        </w:tc>
        <w:tc>
          <w:tcPr>
            <w:tcW w:w="3478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</w:tcBorders>
            <w:shd w:val="clear" w:color="auto" w:fill="D9D9D9"/>
          </w:tcPr>
          <w:p w14:paraId="2B050D78">
            <w:pPr>
              <w:pStyle w:val="10"/>
              <w:spacing w:line="215" w:lineRule="exact"/>
              <w:ind w:left="6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AUTORIZÓ</w:t>
            </w:r>
          </w:p>
        </w:tc>
      </w:tr>
      <w:tr w14:paraId="6CFDE69F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8" w:hRule="atLeast"/>
        </w:trPr>
        <w:tc>
          <w:tcPr>
            <w:tcW w:w="3385" w:type="dxa"/>
            <w:tcBorders>
              <w:top w:val="single" w:color="808080" w:sz="2" w:space="0"/>
              <w:bottom w:val="single" w:color="808080" w:sz="2" w:space="0"/>
              <w:right w:val="single" w:color="808080" w:sz="2" w:space="0"/>
            </w:tcBorders>
          </w:tcPr>
          <w:p w14:paraId="69B751EE">
            <w:pPr>
              <w:pStyle w:val="10"/>
              <w:rPr>
                <w:sz w:val="20"/>
              </w:rPr>
            </w:pPr>
          </w:p>
          <w:p w14:paraId="0B33113D">
            <w:pPr>
              <w:pStyle w:val="10"/>
              <w:rPr>
                <w:sz w:val="20"/>
              </w:rPr>
            </w:pPr>
          </w:p>
          <w:p w14:paraId="3B5E45BD">
            <w:pPr>
              <w:pStyle w:val="10"/>
              <w:rPr>
                <w:sz w:val="20"/>
              </w:rPr>
            </w:pPr>
          </w:p>
          <w:p w14:paraId="2DB578EC">
            <w:pPr>
              <w:pStyle w:val="10"/>
              <w:spacing w:before="16"/>
              <w:rPr>
                <w:sz w:val="20"/>
              </w:rPr>
            </w:pPr>
          </w:p>
          <w:p w14:paraId="05D192CB">
            <w:pPr>
              <w:pStyle w:val="10"/>
              <w:spacing w:line="240" w:lineRule="exact"/>
              <w:ind w:left="65" w:right="24"/>
              <w:jc w:val="center"/>
              <w:rPr>
                <w:sz w:val="20"/>
              </w:rPr>
            </w:pPr>
            <w:r>
              <w:rPr>
                <w:sz w:val="20"/>
              </w:rPr>
              <w:t>Ing.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Iván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Téllez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Salinas</w:t>
            </w:r>
          </w:p>
          <w:p w14:paraId="25F44514">
            <w:pPr>
              <w:pStyle w:val="10"/>
              <w:spacing w:before="9" w:line="223" w:lineRule="auto"/>
              <w:ind w:left="65" w:right="18"/>
              <w:jc w:val="center"/>
              <w:rPr>
                <w:sz w:val="20"/>
              </w:rPr>
            </w:pPr>
            <w:r>
              <w:rPr>
                <w:sz w:val="20"/>
              </w:rPr>
              <w:t>Jefatura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Departamento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Recursos Materiales y Servicios</w:t>
            </w:r>
          </w:p>
        </w:tc>
        <w:tc>
          <w:tcPr>
            <w:tcW w:w="3312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</w:tcPr>
          <w:p w14:paraId="709D35D9">
            <w:pPr>
              <w:pStyle w:val="10"/>
              <w:rPr>
                <w:sz w:val="20"/>
              </w:rPr>
            </w:pPr>
          </w:p>
          <w:p w14:paraId="2D5552D7">
            <w:pPr>
              <w:pStyle w:val="10"/>
              <w:rPr>
                <w:sz w:val="20"/>
              </w:rPr>
            </w:pPr>
          </w:p>
          <w:p w14:paraId="33BF2575">
            <w:pPr>
              <w:pStyle w:val="10"/>
              <w:spacing w:before="233"/>
              <w:rPr>
                <w:sz w:val="20"/>
              </w:rPr>
            </w:pPr>
          </w:p>
          <w:p w14:paraId="101C9B82">
            <w:pPr>
              <w:pStyle w:val="10"/>
              <w:spacing w:line="240" w:lineRule="atLeast"/>
              <w:ind w:left="62" w:right="119"/>
              <w:jc w:val="center"/>
              <w:rPr>
                <w:sz w:val="20"/>
              </w:rPr>
            </w:pPr>
            <w:r>
              <w:rPr>
                <w:sz w:val="20"/>
              </w:rPr>
              <w:t>Mtro.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Jorge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Javier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Camacho Subdirección de Servicios </w:t>
            </w:r>
            <w:r>
              <w:rPr>
                <w:spacing w:val="-2"/>
                <w:sz w:val="20"/>
              </w:rPr>
              <w:t>Administrativos</w:t>
            </w:r>
          </w:p>
        </w:tc>
        <w:tc>
          <w:tcPr>
            <w:tcW w:w="3478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</w:tcBorders>
          </w:tcPr>
          <w:p w14:paraId="5129BADB">
            <w:pPr>
              <w:pStyle w:val="10"/>
              <w:rPr>
                <w:sz w:val="20"/>
              </w:rPr>
            </w:pPr>
          </w:p>
          <w:p w14:paraId="48EB06D2">
            <w:pPr>
              <w:pStyle w:val="10"/>
              <w:rPr>
                <w:sz w:val="20"/>
              </w:rPr>
            </w:pPr>
          </w:p>
          <w:p w14:paraId="6072C120">
            <w:pPr>
              <w:pStyle w:val="10"/>
              <w:rPr>
                <w:sz w:val="20"/>
              </w:rPr>
            </w:pPr>
          </w:p>
          <w:p w14:paraId="19B600FF">
            <w:pPr>
              <w:pStyle w:val="10"/>
              <w:spacing w:before="196"/>
              <w:rPr>
                <w:sz w:val="20"/>
              </w:rPr>
            </w:pPr>
          </w:p>
          <w:p w14:paraId="268E29A6">
            <w:pPr>
              <w:pStyle w:val="10"/>
              <w:ind w:left="1481" w:hanging="999"/>
              <w:rPr>
                <w:sz w:val="20"/>
              </w:rPr>
            </w:pPr>
            <w:r>
              <w:rPr>
                <w:sz w:val="20"/>
              </w:rPr>
              <w:t>Mtro.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Miguel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Ángel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Lee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Rodríguez </w:t>
            </w:r>
            <w:r>
              <w:rPr>
                <w:spacing w:val="-2"/>
                <w:sz w:val="20"/>
              </w:rPr>
              <w:t>Dirección</w:t>
            </w:r>
          </w:p>
        </w:tc>
      </w:tr>
      <w:tr w14:paraId="3588570E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3385" w:type="dxa"/>
            <w:tcBorders>
              <w:top w:val="single" w:color="808080" w:sz="2" w:space="0"/>
              <w:right w:val="single" w:color="808080" w:sz="2" w:space="0"/>
            </w:tcBorders>
          </w:tcPr>
          <w:p w14:paraId="377C34C1">
            <w:pPr>
              <w:pStyle w:val="10"/>
              <w:spacing w:line="224" w:lineRule="exact"/>
              <w:ind w:left="65" w:right="23"/>
              <w:jc w:val="center"/>
              <w:rPr>
                <w:rFonts w:hint="default"/>
                <w:sz w:val="20"/>
                <w:lang w:val="es-MX"/>
              </w:rPr>
            </w:pPr>
            <w:r>
              <w:rPr>
                <w:rFonts w:hint="default"/>
                <w:sz w:val="20"/>
                <w:lang w:val="es-MX"/>
              </w:rPr>
              <w:t>3 de agosto de 2026</w:t>
            </w:r>
          </w:p>
        </w:tc>
        <w:tc>
          <w:tcPr>
            <w:tcW w:w="3312" w:type="dxa"/>
            <w:tcBorders>
              <w:top w:val="single" w:color="808080" w:sz="2" w:space="0"/>
              <w:left w:val="single" w:color="808080" w:sz="2" w:space="0"/>
              <w:right w:val="single" w:color="808080" w:sz="2" w:space="0"/>
            </w:tcBorders>
          </w:tcPr>
          <w:p w14:paraId="629DBDAF">
            <w:pPr>
              <w:spacing w:line="224" w:lineRule="exact"/>
              <w:ind w:left="0" w:leftChars="0" w:right="0" w:rightChars="0"/>
              <w:jc w:val="center"/>
              <w:rPr>
                <w:sz w:val="20"/>
              </w:rPr>
            </w:pPr>
            <w:r>
              <w:rPr>
                <w:rFonts w:hint="default"/>
                <w:sz w:val="20"/>
                <w:lang w:val="es-MX"/>
              </w:rPr>
              <w:t>3 de agosto de 2026</w:t>
            </w:r>
          </w:p>
        </w:tc>
        <w:tc>
          <w:tcPr>
            <w:tcW w:w="3478" w:type="dxa"/>
            <w:tcBorders>
              <w:top w:val="single" w:color="808080" w:sz="2" w:space="0"/>
              <w:left w:val="single" w:color="808080" w:sz="2" w:space="0"/>
            </w:tcBorders>
          </w:tcPr>
          <w:p w14:paraId="71ABD939">
            <w:pPr>
              <w:spacing w:line="224" w:lineRule="exact"/>
              <w:ind w:left="0" w:leftChars="0" w:right="0" w:rightChars="0"/>
              <w:jc w:val="center"/>
              <w:rPr>
                <w:sz w:val="20"/>
              </w:rPr>
            </w:pPr>
            <w:r>
              <w:rPr>
                <w:rFonts w:hint="default"/>
                <w:sz w:val="20"/>
                <w:lang w:val="es-MX"/>
              </w:rPr>
              <w:t>3 de agosto de 2026</w:t>
            </w:r>
          </w:p>
        </w:tc>
      </w:tr>
    </w:tbl>
    <w:p w14:paraId="67BA9857">
      <w:pPr>
        <w:pStyle w:val="10"/>
        <w:spacing w:after="0" w:line="224" w:lineRule="exact"/>
        <w:jc w:val="center"/>
        <w:rPr>
          <w:sz w:val="20"/>
        </w:rPr>
        <w:sectPr>
          <w:headerReference r:id="rId5" w:type="default"/>
          <w:footerReference r:id="rId6" w:type="default"/>
          <w:type w:val="continuous"/>
          <w:pgSz w:w="12240" w:h="15840"/>
          <w:pgMar w:top="2060" w:right="1080" w:bottom="1240" w:left="720" w:header="715" w:footer="1056" w:gutter="0"/>
          <w:pgNumType w:fmt="decimal" w:start="1"/>
          <w:cols w:space="720" w:num="1"/>
        </w:sectPr>
      </w:pPr>
    </w:p>
    <w:p w14:paraId="4FB505D7">
      <w:pPr>
        <w:pStyle w:val="3"/>
        <w:rPr>
          <w:b w:val="0"/>
        </w:rPr>
      </w:pPr>
      <w:r>
        <w:rPr>
          <w:spacing w:val="-2"/>
        </w:rPr>
        <w:t>ITPAC-AD-FO-</w:t>
      </w:r>
      <w:r>
        <w:rPr>
          <w:spacing w:val="-5"/>
        </w:rPr>
        <w:t>05</w:t>
      </w:r>
      <w:r>
        <w:rPr>
          <w:b w:val="0"/>
          <w:spacing w:val="-5"/>
        </w:rPr>
        <w:t>.</w:t>
      </w:r>
    </w:p>
    <w:p w14:paraId="6FD82F61">
      <w:pPr>
        <w:pStyle w:val="9"/>
        <w:numPr>
          <w:ilvl w:val="0"/>
          <w:numId w:val="2"/>
        </w:numPr>
        <w:tabs>
          <w:tab w:val="left" w:pos="1071"/>
          <w:tab w:val="left" w:pos="1073"/>
        </w:tabs>
        <w:spacing w:before="266" w:after="0" w:line="240" w:lineRule="auto"/>
        <w:ind w:left="1073" w:right="623" w:hanging="360"/>
        <w:jc w:val="both"/>
        <w:rPr>
          <w:sz w:val="22"/>
        </w:rPr>
      </w:pPr>
      <w:r>
        <w:rPr>
          <w:sz w:val="22"/>
        </w:rPr>
        <w:t>La oficina de Adquisiciones solicita fecha de entrega y factura para la elaboración de la entrada y salida o servicio y envía a la oficina de Almacén e inventarios del Tecnológico.</w:t>
      </w:r>
    </w:p>
    <w:p w14:paraId="3AFD59C1">
      <w:pPr>
        <w:pStyle w:val="7"/>
        <w:spacing w:before="1"/>
        <w:ind w:left="0"/>
        <w:jc w:val="left"/>
      </w:pPr>
    </w:p>
    <w:p w14:paraId="190558C1">
      <w:pPr>
        <w:pStyle w:val="9"/>
        <w:numPr>
          <w:ilvl w:val="0"/>
          <w:numId w:val="2"/>
        </w:numPr>
        <w:tabs>
          <w:tab w:val="left" w:pos="1071"/>
          <w:tab w:val="left" w:pos="1073"/>
        </w:tabs>
        <w:spacing w:before="0" w:after="0" w:line="240" w:lineRule="auto"/>
        <w:ind w:left="1073" w:right="614" w:hanging="360"/>
        <w:jc w:val="both"/>
        <w:rPr>
          <w:sz w:val="22"/>
        </w:rPr>
      </w:pPr>
      <w:r>
        <w:rPr>
          <w:sz w:val="22"/>
        </w:rPr>
        <w:t xml:space="preserve">Para el caso de la </w:t>
      </w:r>
      <w:r>
        <w:rPr>
          <w:b/>
          <w:sz w:val="22"/>
        </w:rPr>
        <w:t xml:space="preserve">compra de bienes </w:t>
      </w:r>
      <w:r>
        <w:rPr>
          <w:sz w:val="22"/>
        </w:rPr>
        <w:t>la oficina de Almacén e Inventarios en el Instituto Tecnológico, recibe del proveedor los bienes comprados y verifica el cumplimiento de los requisitos</w:t>
      </w:r>
      <w:r>
        <w:rPr>
          <w:spacing w:val="-5"/>
          <w:sz w:val="22"/>
        </w:rPr>
        <w:t xml:space="preserve"> </w:t>
      </w:r>
      <w:r>
        <w:rPr>
          <w:sz w:val="22"/>
        </w:rPr>
        <w:t>de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compra especificados en la Requisición de Bienes y Servicios </w:t>
      </w:r>
      <w:r>
        <w:rPr>
          <w:b/>
          <w:sz w:val="22"/>
        </w:rPr>
        <w:t xml:space="preserve">ITPAC-AD-FO- 03 </w:t>
      </w:r>
      <w:r>
        <w:rPr>
          <w:sz w:val="22"/>
        </w:rPr>
        <w:t xml:space="preserve">y la Orden de Compra de Bienes o Servicios </w:t>
      </w:r>
      <w:r>
        <w:rPr>
          <w:b/>
          <w:sz w:val="22"/>
        </w:rPr>
        <w:t xml:space="preserve">ITPAC-AD-FO-05 </w:t>
      </w:r>
      <w:r>
        <w:rPr>
          <w:sz w:val="22"/>
        </w:rPr>
        <w:t>comparándola con la factura y el</w:t>
      </w:r>
      <w:r>
        <w:rPr>
          <w:spacing w:val="40"/>
          <w:sz w:val="22"/>
        </w:rPr>
        <w:t xml:space="preserve"> </w:t>
      </w:r>
      <w:r>
        <w:rPr>
          <w:sz w:val="22"/>
        </w:rPr>
        <w:t>formato de entrada y salida con los bienes recibidos.</w:t>
      </w:r>
    </w:p>
    <w:p w14:paraId="3A6C663C">
      <w:pPr>
        <w:pStyle w:val="7"/>
        <w:spacing w:before="2"/>
        <w:ind w:left="0"/>
        <w:jc w:val="left"/>
      </w:pPr>
    </w:p>
    <w:p w14:paraId="07698758">
      <w:pPr>
        <w:pStyle w:val="9"/>
        <w:numPr>
          <w:ilvl w:val="0"/>
          <w:numId w:val="2"/>
        </w:numPr>
        <w:tabs>
          <w:tab w:val="left" w:pos="1071"/>
          <w:tab w:val="left" w:pos="1073"/>
        </w:tabs>
        <w:spacing w:before="0" w:after="0" w:line="240" w:lineRule="auto"/>
        <w:ind w:left="1073" w:right="614" w:hanging="360"/>
        <w:jc w:val="both"/>
        <w:rPr>
          <w:sz w:val="22"/>
        </w:rPr>
      </w:pPr>
      <w:r>
        <w:rPr>
          <w:sz w:val="22"/>
        </w:rPr>
        <w:t xml:space="preserve">Para el caso de la </w:t>
      </w:r>
      <w:r>
        <w:rPr>
          <w:b/>
          <w:sz w:val="22"/>
        </w:rPr>
        <w:t xml:space="preserve">compra de servicios </w:t>
      </w:r>
      <w:r>
        <w:rPr>
          <w:sz w:val="22"/>
        </w:rPr>
        <w:t xml:space="preserve">la oficina de Adquisiciones recibe del proveedor el servicio para que el jefe del área solicitante determina si cumple o no con las especificaciones registradas en la Orden de Compra de Bienes o servicios </w:t>
      </w:r>
      <w:r>
        <w:rPr>
          <w:b/>
          <w:sz w:val="22"/>
        </w:rPr>
        <w:t xml:space="preserve">ITPAC-AD-FO-05 </w:t>
      </w:r>
      <w:r>
        <w:rPr>
          <w:sz w:val="22"/>
        </w:rPr>
        <w:t>y solo si cumple se solicita reporte de conclusión del servicio al proveedor y pasa a la secuencia 11.</w:t>
      </w:r>
    </w:p>
    <w:p w14:paraId="3903B349">
      <w:pPr>
        <w:pStyle w:val="9"/>
        <w:numPr>
          <w:ilvl w:val="0"/>
          <w:numId w:val="2"/>
        </w:numPr>
        <w:tabs>
          <w:tab w:val="left" w:pos="1071"/>
          <w:tab w:val="left" w:pos="1073"/>
        </w:tabs>
        <w:spacing w:before="268" w:after="0" w:line="240" w:lineRule="auto"/>
        <w:ind w:left="1073" w:right="614" w:hanging="360"/>
        <w:jc w:val="both"/>
        <w:rPr>
          <w:sz w:val="22"/>
        </w:rPr>
      </w:pPr>
      <w:r>
        <w:rPr>
          <w:sz w:val="22"/>
        </w:rPr>
        <w:t>La Oficina de Almacén e Inventarios de acuerdo a la Entrada y Salida, entrega los bienes a las áreas solicitantes, quienes firman de recibido el documento.</w:t>
      </w:r>
    </w:p>
    <w:p w14:paraId="1973728A">
      <w:pPr>
        <w:pStyle w:val="7"/>
        <w:spacing w:before="1"/>
        <w:ind w:left="0"/>
        <w:jc w:val="left"/>
      </w:pPr>
    </w:p>
    <w:p w14:paraId="77FECDEE">
      <w:pPr>
        <w:pStyle w:val="9"/>
        <w:numPr>
          <w:ilvl w:val="0"/>
          <w:numId w:val="2"/>
        </w:numPr>
        <w:tabs>
          <w:tab w:val="left" w:pos="1071"/>
          <w:tab w:val="left" w:pos="1073"/>
        </w:tabs>
        <w:spacing w:before="0" w:after="0" w:line="240" w:lineRule="auto"/>
        <w:ind w:left="1073" w:right="612" w:hanging="360"/>
        <w:jc w:val="both"/>
        <w:rPr>
          <w:b/>
          <w:sz w:val="22"/>
        </w:rPr>
      </w:pPr>
      <w:r>
        <w:rPr>
          <w:sz w:val="22"/>
        </w:rPr>
        <w:t>La Oficina de Almacén e Inventarios integra expediente para el caso de los bienes (Entrada y Salida de Almacén debidamente firmado y sellado, factura del proveedor sellada y requisitada</w:t>
      </w:r>
      <w:r>
        <w:rPr>
          <w:spacing w:val="80"/>
          <w:sz w:val="22"/>
        </w:rPr>
        <w:t xml:space="preserve"> </w:t>
      </w:r>
      <w:r>
        <w:rPr>
          <w:sz w:val="22"/>
        </w:rPr>
        <w:t>por</w:t>
      </w:r>
      <w:r>
        <w:rPr>
          <w:spacing w:val="15"/>
          <w:sz w:val="22"/>
        </w:rPr>
        <w:t xml:space="preserve"> </w:t>
      </w:r>
      <w:r>
        <w:rPr>
          <w:sz w:val="22"/>
        </w:rPr>
        <w:t>el</w:t>
      </w:r>
      <w:r>
        <w:rPr>
          <w:spacing w:val="15"/>
          <w:sz w:val="22"/>
        </w:rPr>
        <w:t xml:space="preserve"> </w:t>
      </w:r>
      <w:r>
        <w:rPr>
          <w:sz w:val="22"/>
        </w:rPr>
        <w:t>jefe</w:t>
      </w:r>
      <w:r>
        <w:rPr>
          <w:spacing w:val="16"/>
          <w:sz w:val="22"/>
        </w:rPr>
        <w:t xml:space="preserve"> </w:t>
      </w:r>
      <w:r>
        <w:rPr>
          <w:sz w:val="22"/>
        </w:rPr>
        <w:t>del Departamento</w:t>
      </w:r>
      <w:r>
        <w:rPr>
          <w:spacing w:val="16"/>
          <w:sz w:val="22"/>
        </w:rPr>
        <w:t xml:space="preserve"> </w:t>
      </w:r>
      <w:r>
        <w:rPr>
          <w:sz w:val="22"/>
        </w:rPr>
        <w:t>que</w:t>
      </w:r>
      <w:r>
        <w:rPr>
          <w:spacing w:val="15"/>
          <w:sz w:val="22"/>
        </w:rPr>
        <w:t xml:space="preserve"> </w:t>
      </w:r>
      <w:r>
        <w:rPr>
          <w:sz w:val="22"/>
        </w:rPr>
        <w:t>recibe el</w:t>
      </w:r>
      <w:r>
        <w:rPr>
          <w:spacing w:val="15"/>
          <w:sz w:val="22"/>
        </w:rPr>
        <w:t xml:space="preserve"> </w:t>
      </w:r>
      <w:r>
        <w:rPr>
          <w:sz w:val="22"/>
        </w:rPr>
        <w:t>bien</w:t>
      </w:r>
      <w:r>
        <w:rPr>
          <w:spacing w:val="16"/>
          <w:sz w:val="22"/>
        </w:rPr>
        <w:t xml:space="preserve"> </w:t>
      </w:r>
      <w:r>
        <w:rPr>
          <w:sz w:val="22"/>
        </w:rPr>
        <w:t>y</w:t>
      </w:r>
      <w:r>
        <w:rPr>
          <w:spacing w:val="15"/>
          <w:sz w:val="22"/>
        </w:rPr>
        <w:t xml:space="preserve"> </w:t>
      </w:r>
      <w:r>
        <w:rPr>
          <w:sz w:val="22"/>
        </w:rPr>
        <w:t>los</w:t>
      </w:r>
      <w:r>
        <w:rPr>
          <w:spacing w:val="15"/>
          <w:sz w:val="22"/>
        </w:rPr>
        <w:t xml:space="preserve"> </w:t>
      </w:r>
      <w:r>
        <w:rPr>
          <w:sz w:val="22"/>
        </w:rPr>
        <w:t>registros</w:t>
      </w:r>
      <w:r>
        <w:rPr>
          <w:spacing w:val="13"/>
          <w:sz w:val="22"/>
        </w:rPr>
        <w:t xml:space="preserve"> </w:t>
      </w:r>
      <w:r>
        <w:rPr>
          <w:b/>
          <w:sz w:val="22"/>
        </w:rPr>
        <w:t>ITPAC-AD-FO-03</w:t>
      </w:r>
      <w:r>
        <w:rPr>
          <w:b/>
          <w:spacing w:val="16"/>
          <w:sz w:val="22"/>
        </w:rPr>
        <w:t xml:space="preserve"> </w:t>
      </w:r>
      <w:r>
        <w:rPr>
          <w:sz w:val="22"/>
        </w:rPr>
        <w:t>y</w:t>
      </w:r>
      <w:r>
        <w:rPr>
          <w:spacing w:val="13"/>
          <w:sz w:val="22"/>
        </w:rPr>
        <w:t xml:space="preserve"> </w:t>
      </w:r>
      <w:r>
        <w:rPr>
          <w:b/>
          <w:sz w:val="22"/>
        </w:rPr>
        <w:t>ITPAC-</w:t>
      </w:r>
      <w:r>
        <w:rPr>
          <w:b/>
          <w:spacing w:val="15"/>
          <w:sz w:val="22"/>
        </w:rPr>
        <w:t xml:space="preserve"> </w:t>
      </w:r>
      <w:r>
        <w:rPr>
          <w:b/>
          <w:sz w:val="22"/>
        </w:rPr>
        <w:t>ADFO-</w:t>
      </w:r>
    </w:p>
    <w:p w14:paraId="751C58E4">
      <w:pPr>
        <w:pStyle w:val="7"/>
        <w:spacing w:line="267" w:lineRule="exact"/>
      </w:pPr>
      <w:r>
        <w:rPr>
          <w:b/>
        </w:rPr>
        <w:t>05</w:t>
      </w:r>
      <w:r>
        <w:t>)</w:t>
      </w:r>
      <w:r>
        <w:rPr>
          <w:spacing w:val="-3"/>
        </w:rPr>
        <w:t xml:space="preserve"> </w:t>
      </w:r>
      <w:r>
        <w:t>y lo</w:t>
      </w:r>
      <w:r>
        <w:rPr>
          <w:spacing w:val="-2"/>
        </w:rPr>
        <w:t xml:space="preserve"> </w:t>
      </w:r>
      <w:r>
        <w:t>entrega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oficina</w:t>
      </w:r>
      <w:r>
        <w:rPr>
          <w:spacing w:val="-4"/>
        </w:rPr>
        <w:t xml:space="preserve"> </w:t>
      </w:r>
      <w:r>
        <w:t xml:space="preserve">de </w:t>
      </w:r>
      <w:r>
        <w:rPr>
          <w:spacing w:val="-2"/>
        </w:rPr>
        <w:t>Adquisiciones.</w:t>
      </w:r>
    </w:p>
    <w:p w14:paraId="333321B3">
      <w:pPr>
        <w:pStyle w:val="7"/>
        <w:ind w:left="0"/>
        <w:jc w:val="left"/>
      </w:pPr>
    </w:p>
    <w:p w14:paraId="36C0D869">
      <w:pPr>
        <w:pStyle w:val="9"/>
        <w:numPr>
          <w:ilvl w:val="0"/>
          <w:numId w:val="2"/>
        </w:numPr>
        <w:tabs>
          <w:tab w:val="left" w:pos="1071"/>
          <w:tab w:val="left" w:pos="1073"/>
        </w:tabs>
        <w:spacing w:before="0" w:after="0" w:line="240" w:lineRule="auto"/>
        <w:ind w:left="1073" w:right="614" w:hanging="360"/>
        <w:jc w:val="both"/>
        <w:rPr>
          <w:sz w:val="22"/>
        </w:rPr>
      </w:pPr>
      <w:r>
        <w:rPr>
          <w:sz w:val="22"/>
        </w:rPr>
        <w:t xml:space="preserve">La Oficina de Adquisiciones para el caso de los </w:t>
      </w:r>
      <w:r>
        <w:rPr>
          <w:b/>
          <w:sz w:val="22"/>
        </w:rPr>
        <w:t xml:space="preserve">servicios </w:t>
      </w:r>
      <w:r>
        <w:rPr>
          <w:sz w:val="22"/>
        </w:rPr>
        <w:t>integra expediente (reporte de</w:t>
      </w:r>
      <w:r>
        <w:rPr>
          <w:spacing w:val="40"/>
          <w:sz w:val="22"/>
        </w:rPr>
        <w:t xml:space="preserve"> </w:t>
      </w:r>
      <w:r>
        <w:rPr>
          <w:sz w:val="22"/>
        </w:rPr>
        <w:t xml:space="preserve">conclusión del servicio, factura del proveedor sellada y requisitada por el jefe del Departamento que recibe el bien y los registros </w:t>
      </w:r>
      <w:r>
        <w:rPr>
          <w:b/>
          <w:sz w:val="22"/>
        </w:rPr>
        <w:t xml:space="preserve">ITPAC-AD-FO-03 </w:t>
      </w:r>
      <w:r>
        <w:rPr>
          <w:sz w:val="22"/>
        </w:rPr>
        <w:t xml:space="preserve">y </w:t>
      </w:r>
      <w:r>
        <w:rPr>
          <w:b/>
          <w:sz w:val="22"/>
        </w:rPr>
        <w:t>ITPAC- ADFO- 05</w:t>
      </w:r>
      <w:r>
        <w:rPr>
          <w:sz w:val="22"/>
        </w:rPr>
        <w:t>.</w:t>
      </w:r>
    </w:p>
    <w:p w14:paraId="6EBED862">
      <w:pPr>
        <w:pStyle w:val="7"/>
        <w:spacing w:before="1"/>
        <w:ind w:left="0"/>
        <w:jc w:val="left"/>
      </w:pPr>
    </w:p>
    <w:p w14:paraId="77125CF7">
      <w:pPr>
        <w:pStyle w:val="9"/>
        <w:numPr>
          <w:ilvl w:val="0"/>
          <w:numId w:val="2"/>
        </w:numPr>
        <w:tabs>
          <w:tab w:val="left" w:pos="1071"/>
          <w:tab w:val="left" w:pos="1073"/>
        </w:tabs>
        <w:spacing w:before="0" w:after="0" w:line="240" w:lineRule="auto"/>
        <w:ind w:left="1073" w:right="613" w:hanging="360"/>
        <w:jc w:val="both"/>
        <w:rPr>
          <w:sz w:val="22"/>
        </w:rPr>
      </w:pPr>
      <w:r>
        <w:rPr>
          <w:sz w:val="22"/>
        </w:rPr>
        <w:t>El Departamento de Recursos Materiales a través de la Oficina de Adquisiciones</w:t>
      </w:r>
      <w:r>
        <w:rPr>
          <w:spacing w:val="40"/>
          <w:sz w:val="22"/>
        </w:rPr>
        <w:t xml:space="preserve"> </w:t>
      </w:r>
      <w:r>
        <w:rPr>
          <w:sz w:val="22"/>
        </w:rPr>
        <w:t>envía</w:t>
      </w:r>
      <w:r>
        <w:rPr>
          <w:spacing w:val="80"/>
          <w:sz w:val="22"/>
        </w:rPr>
        <w:t xml:space="preserve"> </w:t>
      </w:r>
      <w:r>
        <w:rPr>
          <w:sz w:val="22"/>
        </w:rPr>
        <w:t>expediente</w:t>
      </w:r>
      <w:r>
        <w:rPr>
          <w:spacing w:val="-6"/>
          <w:sz w:val="22"/>
        </w:rPr>
        <w:t xml:space="preserve"> </w:t>
      </w:r>
      <w:r>
        <w:rPr>
          <w:sz w:val="22"/>
        </w:rPr>
        <w:t>(incluyendo</w:t>
      </w:r>
      <w:r>
        <w:rPr>
          <w:spacing w:val="-4"/>
          <w:sz w:val="22"/>
        </w:rPr>
        <w:t xml:space="preserve"> </w:t>
      </w:r>
      <w:r>
        <w:rPr>
          <w:sz w:val="22"/>
        </w:rPr>
        <w:t>factura</w:t>
      </w:r>
      <w:r>
        <w:rPr>
          <w:spacing w:val="-5"/>
          <w:sz w:val="22"/>
        </w:rPr>
        <w:t xml:space="preserve"> </w:t>
      </w:r>
      <w:r>
        <w:rPr>
          <w:sz w:val="22"/>
        </w:rPr>
        <w:t>digital</w:t>
      </w:r>
      <w:r>
        <w:rPr>
          <w:spacing w:val="-5"/>
          <w:sz w:val="22"/>
        </w:rPr>
        <w:t xml:space="preserve"> </w:t>
      </w:r>
      <w:r>
        <w:rPr>
          <w:sz w:val="22"/>
        </w:rPr>
        <w:t>con</w:t>
      </w:r>
      <w:r>
        <w:rPr>
          <w:spacing w:val="-6"/>
          <w:sz w:val="22"/>
        </w:rPr>
        <w:t xml:space="preserve"> </w:t>
      </w:r>
      <w:r>
        <w:rPr>
          <w:sz w:val="22"/>
        </w:rPr>
        <w:t>archivos</w:t>
      </w:r>
      <w:r>
        <w:rPr>
          <w:spacing w:val="-5"/>
          <w:sz w:val="22"/>
        </w:rPr>
        <w:t xml:space="preserve"> </w:t>
      </w:r>
      <w:r>
        <w:rPr>
          <w:sz w:val="22"/>
        </w:rPr>
        <w:t>PDF</w:t>
      </w:r>
      <w:r>
        <w:rPr>
          <w:spacing w:val="-7"/>
          <w:sz w:val="22"/>
        </w:rPr>
        <w:t xml:space="preserve"> </w:t>
      </w:r>
      <w:r>
        <w:rPr>
          <w:sz w:val="22"/>
        </w:rPr>
        <w:t>y</w:t>
      </w:r>
      <w:r>
        <w:rPr>
          <w:spacing w:val="-4"/>
          <w:sz w:val="22"/>
        </w:rPr>
        <w:t xml:space="preserve"> </w:t>
      </w:r>
      <w:r>
        <w:rPr>
          <w:sz w:val="22"/>
        </w:rPr>
        <w:t>XML)</w:t>
      </w:r>
      <w:r>
        <w:rPr>
          <w:spacing w:val="-6"/>
          <w:sz w:val="22"/>
        </w:rPr>
        <w:t xml:space="preserve"> </w:t>
      </w:r>
      <w:r>
        <w:rPr>
          <w:sz w:val="22"/>
        </w:rPr>
        <w:t>y</w:t>
      </w:r>
      <w:r>
        <w:rPr>
          <w:spacing w:val="-4"/>
          <w:sz w:val="22"/>
        </w:rPr>
        <w:t xml:space="preserve"> </w:t>
      </w:r>
      <w:r>
        <w:rPr>
          <w:sz w:val="22"/>
        </w:rPr>
        <w:t>memorando</w:t>
      </w:r>
      <w:r>
        <w:rPr>
          <w:spacing w:val="-1"/>
          <w:sz w:val="22"/>
        </w:rPr>
        <w:t xml:space="preserve"> </w:t>
      </w:r>
      <w:r>
        <w:rPr>
          <w:sz w:val="22"/>
        </w:rPr>
        <w:t>al Departamento</w:t>
      </w:r>
      <w:r>
        <w:rPr>
          <w:spacing w:val="-2"/>
          <w:sz w:val="22"/>
        </w:rPr>
        <w:t xml:space="preserve"> </w:t>
      </w:r>
      <w:r>
        <w:rPr>
          <w:sz w:val="22"/>
        </w:rPr>
        <w:t>de Recursos Financieros para solicitar del pago correspondiente.</w:t>
      </w:r>
    </w:p>
    <w:p w14:paraId="71B46AE1">
      <w:pPr>
        <w:pStyle w:val="9"/>
        <w:numPr>
          <w:ilvl w:val="0"/>
          <w:numId w:val="2"/>
        </w:numPr>
        <w:tabs>
          <w:tab w:val="left" w:pos="1071"/>
          <w:tab w:val="left" w:pos="1073"/>
        </w:tabs>
        <w:spacing w:before="268" w:after="0" w:line="240" w:lineRule="auto"/>
        <w:ind w:left="1073" w:right="620" w:hanging="360"/>
        <w:jc w:val="both"/>
        <w:rPr>
          <w:sz w:val="22"/>
        </w:rPr>
      </w:pPr>
      <w:r>
        <w:rPr>
          <w:sz w:val="22"/>
        </w:rPr>
        <w:t>El Departamento de Recursos Materiales de</w:t>
      </w:r>
      <w:r>
        <w:rPr>
          <w:spacing w:val="-2"/>
          <w:sz w:val="22"/>
        </w:rPr>
        <w:t xml:space="preserve"> </w:t>
      </w:r>
      <w:r>
        <w:rPr>
          <w:sz w:val="22"/>
        </w:rPr>
        <w:t>manera</w:t>
      </w:r>
      <w:r>
        <w:rPr>
          <w:spacing w:val="-2"/>
          <w:sz w:val="22"/>
        </w:rPr>
        <w:t xml:space="preserve"> </w:t>
      </w:r>
      <w:r>
        <w:rPr>
          <w:sz w:val="22"/>
        </w:rPr>
        <w:t>anual realiza la evaluación o reevaluación de proveedores seleccionados.</w:t>
      </w:r>
    </w:p>
    <w:p w14:paraId="1556886A">
      <w:pPr>
        <w:pStyle w:val="9"/>
        <w:spacing w:after="0" w:line="240" w:lineRule="auto"/>
        <w:jc w:val="both"/>
        <w:rPr>
          <w:sz w:val="22"/>
        </w:rPr>
        <w:sectPr>
          <w:pgSz w:w="12240" w:h="15840"/>
          <w:pgMar w:top="2060" w:right="1080" w:bottom="1260" w:left="720" w:header="715" w:footer="1056" w:gutter="0"/>
          <w:pgNumType w:fmt="decimal"/>
          <w:cols w:space="720" w:num="1"/>
        </w:sectPr>
      </w:pPr>
    </w:p>
    <w:p w14:paraId="004EFEC9">
      <w:pPr>
        <w:pStyle w:val="2"/>
        <w:numPr>
          <w:ilvl w:val="0"/>
          <w:numId w:val="1"/>
        </w:numPr>
        <w:tabs>
          <w:tab w:val="left" w:pos="659"/>
        </w:tabs>
        <w:spacing w:before="54" w:after="0" w:line="240" w:lineRule="auto"/>
        <w:ind w:left="659" w:right="0" w:hanging="359"/>
        <w:jc w:val="left"/>
      </w:pPr>
      <w:r>
        <w:rPr>
          <w:spacing w:val="-2"/>
        </w:rPr>
        <w:t>Registros</w:t>
      </w:r>
    </w:p>
    <w:p w14:paraId="69149B86">
      <w:pPr>
        <w:pStyle w:val="7"/>
        <w:spacing w:before="25"/>
        <w:ind w:left="0"/>
        <w:jc w:val="left"/>
        <w:rPr>
          <w:b/>
          <w:sz w:val="20"/>
        </w:rPr>
      </w:pPr>
    </w:p>
    <w:tbl>
      <w:tblPr>
        <w:tblStyle w:val="11"/>
        <w:tblW w:w="12414" w:type="dxa"/>
        <w:tblInd w:w="426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911"/>
        <w:gridCol w:w="1405"/>
        <w:gridCol w:w="1193"/>
        <w:gridCol w:w="1511"/>
        <w:gridCol w:w="1113"/>
        <w:gridCol w:w="1531"/>
        <w:gridCol w:w="1385"/>
        <w:gridCol w:w="2365"/>
      </w:tblGrid>
      <w:tr w14:paraId="33D15E9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After w:val="1"/>
          <w:wAfter w:w="2365" w:type="dxa"/>
          <w:trHeight w:val="564" w:hRule="atLeast"/>
        </w:trPr>
        <w:tc>
          <w:tcPr>
            <w:tcW w:w="1911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1DC7E9ED">
            <w:pPr>
              <w:jc w:val="center"/>
              <w:rPr>
                <w:rFonts w:hint="default" w:ascii="Arial" w:hAnsi="Arial" w:eastAsia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Arial" w:cs="Arial"/>
                <w:b/>
                <w:bCs/>
                <w:sz w:val="16"/>
                <w:szCs w:val="16"/>
              </w:rPr>
              <w:t xml:space="preserve">Nombre </w:t>
            </w:r>
          </w:p>
        </w:tc>
        <w:tc>
          <w:tcPr>
            <w:tcW w:w="1405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1965E245">
            <w:pPr>
              <w:jc w:val="center"/>
              <w:rPr>
                <w:rFonts w:hint="default" w:ascii="Arial" w:hAnsi="Arial" w:eastAsia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Arial" w:cs="Arial"/>
                <w:b/>
                <w:bCs/>
                <w:sz w:val="16"/>
                <w:szCs w:val="16"/>
              </w:rPr>
              <w:t xml:space="preserve">Código </w:t>
            </w:r>
          </w:p>
        </w:tc>
        <w:tc>
          <w:tcPr>
            <w:tcW w:w="1193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74A63B3E">
            <w:pPr>
              <w:jc w:val="center"/>
              <w:rPr>
                <w:rFonts w:hint="default" w:ascii="Arial" w:hAnsi="Arial" w:eastAsia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Arial" w:cs="Arial"/>
                <w:b/>
                <w:bCs/>
                <w:sz w:val="16"/>
                <w:szCs w:val="16"/>
              </w:rPr>
              <w:t xml:space="preserve">Manejo </w:t>
            </w:r>
          </w:p>
        </w:tc>
        <w:tc>
          <w:tcPr>
            <w:tcW w:w="1511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283BB2FC">
            <w:pPr>
              <w:jc w:val="center"/>
              <w:rPr>
                <w:rFonts w:hint="default" w:ascii="Arial" w:hAnsi="Arial" w:eastAsia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Arial" w:cs="Arial"/>
                <w:b/>
                <w:bCs/>
                <w:sz w:val="16"/>
                <w:szCs w:val="16"/>
              </w:rPr>
              <w:t xml:space="preserve">Almacenamiento </w:t>
            </w:r>
          </w:p>
        </w:tc>
        <w:tc>
          <w:tcPr>
            <w:tcW w:w="1113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154E31F6">
            <w:pPr>
              <w:jc w:val="center"/>
              <w:rPr>
                <w:rFonts w:hint="default" w:ascii="Arial" w:hAnsi="Arial" w:eastAsia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Arial" w:cs="Arial"/>
                <w:b/>
                <w:bCs/>
                <w:sz w:val="16"/>
                <w:szCs w:val="16"/>
              </w:rPr>
              <w:t>Vigencia</w:t>
            </w:r>
          </w:p>
        </w:tc>
        <w:tc>
          <w:tcPr>
            <w:tcW w:w="1531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73DF579F">
            <w:pPr>
              <w:jc w:val="center"/>
              <w:rPr>
                <w:rFonts w:hint="default" w:ascii="Arial" w:hAnsi="Arial" w:eastAsia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Arial" w:cs="Arial"/>
                <w:b/>
                <w:bCs/>
                <w:sz w:val="16"/>
                <w:szCs w:val="16"/>
              </w:rPr>
              <w:t>Destino Final</w:t>
            </w:r>
          </w:p>
        </w:tc>
        <w:tc>
          <w:tcPr>
            <w:tcW w:w="1385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5A3163E0">
            <w:pPr>
              <w:jc w:val="center"/>
              <w:rPr>
                <w:rFonts w:hint="default" w:ascii="Arial" w:hAnsi="Arial" w:eastAsia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Arial" w:hAnsi="Arial" w:eastAsia="Arial" w:cs="Arial"/>
                <w:b/>
                <w:bCs/>
                <w:sz w:val="16"/>
                <w:szCs w:val="16"/>
              </w:rPr>
              <w:t xml:space="preserve">Responsable </w:t>
            </w:r>
          </w:p>
        </w:tc>
      </w:tr>
      <w:tr w14:paraId="0B01273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90" w:hRule="atLeast"/>
        </w:trPr>
        <w:tc>
          <w:tcPr>
            <w:tcW w:w="1911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0227AFDD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Arial" w:hAnsi="Arial" w:eastAsia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05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47926A4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Arial" w:hAnsi="Arial" w:eastAsia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93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570514F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Arial" w:hAnsi="Arial" w:eastAsia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11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790153E3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Arial" w:hAnsi="Arial" w:eastAsia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13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42FC32B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Arial" w:hAnsi="Arial" w:eastAsia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31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603244B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Arial" w:hAnsi="Arial" w:eastAsia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85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0382D6B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Arial" w:hAnsi="Arial" w:eastAsia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5" w:type="dxa"/>
            <w:tcBorders>
              <w:top w:val="nil"/>
              <w:left w:val="single" w:color="000000" w:sz="12" w:space="0"/>
              <w:bottom w:val="nil"/>
              <w:right w:val="nil"/>
            </w:tcBorders>
            <w:vAlign w:val="bottom"/>
          </w:tcPr>
          <w:p w14:paraId="4D748AE4">
            <w:pPr>
              <w:jc w:val="center"/>
              <w:rPr>
                <w:rFonts w:hint="default" w:ascii="Arial" w:hAnsi="Arial" w:eastAsia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14:paraId="04CD547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91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6495EE3">
            <w:pPr>
              <w:pStyle w:val="10"/>
              <w:spacing w:before="135"/>
              <w:ind w:right="0" w:rightChars="0"/>
              <w:rPr>
                <w:rFonts w:hint="default"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Selección</w:t>
            </w:r>
            <w:r>
              <w:rPr>
                <w:rFonts w:hint="default" w:ascii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de</w:t>
            </w: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Proveedores</w:t>
            </w:r>
          </w:p>
        </w:tc>
        <w:tc>
          <w:tcPr>
            <w:tcW w:w="140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7CA0D60">
            <w:pPr>
              <w:pStyle w:val="10"/>
              <w:spacing w:before="135"/>
              <w:ind w:left="135" w:leftChars="0" w:right="0" w:rightChars="0"/>
              <w:rPr>
                <w:rFonts w:hint="default"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ITPAC-AD-FO-</w:t>
            </w:r>
            <w:r>
              <w:rPr>
                <w:rFonts w:hint="default" w:ascii="Arial" w:hAnsi="Arial" w:cs="Arial"/>
                <w:spacing w:val="-5"/>
                <w:sz w:val="16"/>
                <w:szCs w:val="16"/>
              </w:rPr>
              <w:t>01</w:t>
            </w:r>
          </w:p>
        </w:tc>
        <w:tc>
          <w:tcPr>
            <w:tcW w:w="11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D6FC65B">
            <w:pPr>
              <w:pStyle w:val="10"/>
              <w:spacing w:before="29"/>
              <w:ind w:left="14" w:leftChars="0" w:right="14" w:rightChars="0"/>
              <w:jc w:val="center"/>
              <w:rPr>
                <w:rFonts w:hint="default"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Cronológico</w:t>
            </w:r>
          </w:p>
        </w:tc>
        <w:tc>
          <w:tcPr>
            <w:tcW w:w="151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41990E2">
            <w:pPr>
              <w:pStyle w:val="10"/>
              <w:tabs>
                <w:tab w:val="left" w:pos="1236"/>
              </w:tabs>
              <w:spacing w:before="29"/>
              <w:ind w:left="109" w:leftChars="0" w:right="91" w:rightChars="0"/>
              <w:rPr>
                <w:rFonts w:hint="default"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Carpeta</w:t>
            </w:r>
            <w:r>
              <w:rPr>
                <w:rFonts w:hint="default" w:ascii="Arial" w:hAnsi="Arial" w:cs="Arial"/>
                <w:sz w:val="16"/>
                <w:szCs w:val="16"/>
              </w:rPr>
              <w:tab/>
            </w: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 xml:space="preserve">y/o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E62811F">
            <w:pPr>
              <w:pStyle w:val="10"/>
              <w:spacing w:before="29" w:line="276" w:lineRule="auto"/>
              <w:ind w:left="110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 xml:space="preserve">Trámite: </w:t>
            </w:r>
            <w:r>
              <w:rPr>
                <w:rFonts w:hint="default" w:ascii="Arial" w:hAnsi="Arial" w:cs="Arial"/>
                <w:sz w:val="16"/>
                <w:szCs w:val="16"/>
                <w:u w:val="single"/>
              </w:rPr>
              <w:t xml:space="preserve"> 2 </w:t>
            </w:r>
            <w:r>
              <w:rPr>
                <w:rFonts w:hint="default" w:ascii="Arial" w:hAnsi="Arial" w:cs="Arial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Concentración:</w:t>
            </w:r>
          </w:p>
          <w:p w14:paraId="283BE145">
            <w:pPr>
              <w:pStyle w:val="10"/>
              <w:spacing w:line="157" w:lineRule="exact"/>
              <w:ind w:left="110"/>
              <w:rPr>
                <w:rFonts w:hint="default" w:ascii="Arial" w:hAnsi="Arial" w:cs="Arial"/>
                <w:sz w:val="16"/>
                <w:szCs w:val="16"/>
                <w:u w:val="single"/>
              </w:rPr>
            </w:pPr>
            <w:r>
              <w:rPr>
                <w:rFonts w:hint="default" w:ascii="Arial" w:hAnsi="Arial" w:cs="Arial"/>
                <w:spacing w:val="-5"/>
                <w:sz w:val="16"/>
                <w:szCs w:val="16"/>
                <w:u w:val="single"/>
              </w:rPr>
              <w:t xml:space="preserve"> 23 </w:t>
            </w:r>
          </w:p>
          <w:p w14:paraId="2FA737EC">
            <w:pPr>
              <w:pStyle w:val="10"/>
              <w:spacing w:before="30" w:line="163" w:lineRule="exact"/>
              <w:ind w:left="110" w:leftChars="0"/>
              <w:rPr>
                <w:rFonts w:hint="default"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Total:</w:t>
            </w:r>
            <w:r>
              <w:rPr>
                <w:rFonts w:hint="default" w:ascii="Arial" w:hAnsi="Arial" w:cs="Arial"/>
                <w:spacing w:val="44"/>
                <w:sz w:val="16"/>
                <w:szCs w:val="16"/>
              </w:rPr>
              <w:t xml:space="preserve">  </w:t>
            </w: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25</w:t>
            </w: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6C8BFD7">
            <w:pPr>
              <w:pStyle w:val="10"/>
              <w:spacing w:before="29" w:line="276" w:lineRule="auto"/>
              <w:ind w:left="111" w:leftChars="0"/>
              <w:rPr>
                <w:rFonts w:hint="default"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Conservación</w:t>
            </w:r>
            <w:r>
              <w:rPr>
                <w:rFonts w:hint="default" w:ascii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( x</w:t>
            </w:r>
            <w:r>
              <w:rPr>
                <w:rFonts w:hint="default" w:ascii="Arial" w:hAnsi="Arial" w:cs="Arial"/>
                <w:spacing w:val="20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) Eliminación (  ) Muestreo (</w:t>
            </w:r>
            <w:r>
              <w:rPr>
                <w:rFonts w:hint="default" w:ascii="Arial" w:hAnsi="Arial" w:cs="Arial"/>
                <w:spacing w:val="40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38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1EC44EA">
            <w:pPr>
              <w:pStyle w:val="10"/>
              <w:spacing w:before="30"/>
              <w:ind w:left="130" w:leftChars="0" w:right="303" w:rightChars="0"/>
              <w:rPr>
                <w:rFonts w:hint="default"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Recursos</w:t>
            </w:r>
            <w:r>
              <w:rPr>
                <w:rFonts w:hint="default" w:ascii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Materiales</w:t>
            </w:r>
            <w:r>
              <w:rPr>
                <w:rFonts w:hint="default" w:ascii="Arial" w:hAnsi="Arial" w:cs="Arial"/>
                <w:spacing w:val="-11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 xml:space="preserve">y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Servicios</w:t>
            </w:r>
          </w:p>
        </w:tc>
        <w:tc>
          <w:tcPr>
            <w:tcW w:w="2365" w:type="dxa"/>
            <w:tcBorders>
              <w:left w:val="single" w:color="000000" w:sz="12" w:space="0"/>
            </w:tcBorders>
            <w:vAlign w:val="center"/>
          </w:tcPr>
          <w:p w14:paraId="1840B0DA">
            <w:pPr>
              <w:rPr>
                <w:rFonts w:hint="default" w:ascii="Arial" w:hAnsi="Arial" w:eastAsia="Times New Roman" w:cs="Arial"/>
                <w:sz w:val="16"/>
                <w:szCs w:val="16"/>
              </w:rPr>
            </w:pPr>
          </w:p>
        </w:tc>
      </w:tr>
      <w:tr w14:paraId="01DC079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91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6C2AE37">
            <w:pPr>
              <w:pStyle w:val="10"/>
              <w:spacing w:before="135"/>
              <w:ind w:right="0" w:rightChars="0"/>
              <w:rPr>
                <w:rFonts w:hint="default" w:ascii="Arial" w:hAnsi="Arial" w:cs="Arial"/>
                <w:spacing w:val="-2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Evaluación</w:t>
            </w:r>
            <w:r>
              <w:rPr>
                <w:rFonts w:hint="default" w:ascii="Arial" w:hAnsi="Arial" w:cs="Arial"/>
                <w:spacing w:val="-8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de</w:t>
            </w:r>
            <w:r>
              <w:rPr>
                <w:rFonts w:hint="default" w:ascii="Arial" w:hAnsi="Arial" w:cs="Arial"/>
                <w:spacing w:val="-11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Proveedores</w:t>
            </w:r>
          </w:p>
        </w:tc>
        <w:tc>
          <w:tcPr>
            <w:tcW w:w="140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0B1B5B8">
            <w:pPr>
              <w:pStyle w:val="10"/>
              <w:spacing w:before="135"/>
              <w:ind w:left="135" w:leftChars="0" w:right="0" w:rightChars="0"/>
              <w:rPr>
                <w:rFonts w:hint="default" w:ascii="Arial" w:hAnsi="Arial" w:cs="Arial"/>
                <w:spacing w:val="-2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ITPAC-AD-FO-</w:t>
            </w:r>
            <w:r>
              <w:rPr>
                <w:rFonts w:hint="default" w:ascii="Arial" w:hAnsi="Arial" w:cs="Arial"/>
                <w:spacing w:val="-5"/>
                <w:sz w:val="16"/>
                <w:szCs w:val="16"/>
              </w:rPr>
              <w:t>02</w:t>
            </w:r>
          </w:p>
        </w:tc>
        <w:tc>
          <w:tcPr>
            <w:tcW w:w="11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BA440ED">
            <w:pPr>
              <w:pStyle w:val="10"/>
              <w:spacing w:before="30"/>
              <w:ind w:left="14" w:leftChars="0" w:right="14" w:rightChars="0"/>
              <w:jc w:val="center"/>
              <w:rPr>
                <w:rFonts w:hint="default"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Cronológico</w:t>
            </w:r>
          </w:p>
        </w:tc>
        <w:tc>
          <w:tcPr>
            <w:tcW w:w="151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292B078B">
            <w:pPr>
              <w:pStyle w:val="10"/>
              <w:tabs>
                <w:tab w:val="left" w:pos="1236"/>
              </w:tabs>
              <w:spacing w:before="30"/>
              <w:ind w:left="109" w:leftChars="0" w:right="91" w:rightChars="0"/>
              <w:rPr>
                <w:rFonts w:hint="default"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Carpeta</w:t>
            </w:r>
            <w:r>
              <w:rPr>
                <w:rFonts w:hint="default" w:ascii="Arial" w:hAnsi="Arial" w:cs="Arial"/>
                <w:sz w:val="16"/>
                <w:szCs w:val="16"/>
              </w:rPr>
              <w:tab/>
            </w: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 xml:space="preserve">y/o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F689943">
            <w:pPr>
              <w:pStyle w:val="10"/>
              <w:spacing w:before="30" w:line="276" w:lineRule="auto"/>
              <w:ind w:left="110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 xml:space="preserve">Trámite: </w:t>
            </w:r>
            <w:r>
              <w:rPr>
                <w:rFonts w:hint="default" w:ascii="Arial" w:hAnsi="Arial" w:cs="Arial"/>
                <w:sz w:val="16"/>
                <w:szCs w:val="16"/>
                <w:u w:val="single"/>
              </w:rPr>
              <w:t xml:space="preserve">2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Concentración:</w:t>
            </w:r>
          </w:p>
          <w:p w14:paraId="4B0833BE">
            <w:pPr>
              <w:pStyle w:val="10"/>
              <w:spacing w:line="157" w:lineRule="exact"/>
              <w:ind w:left="110"/>
              <w:rPr>
                <w:rFonts w:hint="default" w:ascii="Arial" w:hAnsi="Arial" w:cs="Arial"/>
                <w:sz w:val="16"/>
                <w:szCs w:val="16"/>
                <w:u w:val="single"/>
              </w:rPr>
            </w:pPr>
            <w:r>
              <w:rPr>
                <w:rFonts w:hint="default" w:ascii="Arial" w:hAnsi="Arial" w:cs="Arial"/>
                <w:spacing w:val="-5"/>
                <w:sz w:val="16"/>
                <w:szCs w:val="16"/>
                <w:u w:val="single"/>
              </w:rPr>
              <w:t xml:space="preserve"> 23 </w:t>
            </w:r>
          </w:p>
          <w:p w14:paraId="515AA6DC">
            <w:pPr>
              <w:pStyle w:val="10"/>
              <w:spacing w:before="30" w:line="163" w:lineRule="exact"/>
              <w:ind w:left="110" w:leftChars="0"/>
              <w:rPr>
                <w:rFonts w:hint="default"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Total:</w:t>
            </w:r>
            <w:r>
              <w:rPr>
                <w:rFonts w:hint="default" w:ascii="Arial" w:hAnsi="Arial" w:cs="Arial"/>
                <w:spacing w:val="44"/>
                <w:sz w:val="16"/>
                <w:szCs w:val="16"/>
              </w:rPr>
              <w:t xml:space="preserve">  </w:t>
            </w: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25</w:t>
            </w: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235F25FA">
            <w:pPr>
              <w:pStyle w:val="10"/>
              <w:spacing w:before="30" w:line="276" w:lineRule="auto"/>
              <w:ind w:left="111" w:leftChars="0"/>
              <w:rPr>
                <w:rFonts w:hint="default"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Conservación</w:t>
            </w:r>
            <w:r>
              <w:rPr>
                <w:rFonts w:hint="default" w:ascii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( x</w:t>
            </w:r>
            <w:r>
              <w:rPr>
                <w:rFonts w:hint="default" w:ascii="Arial" w:hAnsi="Arial" w:cs="Arial"/>
                <w:spacing w:val="20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) Eliminación (  ) Muestreo (</w:t>
            </w:r>
            <w:r>
              <w:rPr>
                <w:rFonts w:hint="default" w:ascii="Arial" w:hAnsi="Arial" w:cs="Arial"/>
                <w:spacing w:val="40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38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10AF5673">
            <w:pPr>
              <w:pStyle w:val="10"/>
              <w:spacing w:before="30"/>
              <w:ind w:left="130" w:leftChars="0" w:right="303" w:rightChars="0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Recursos</w:t>
            </w:r>
            <w:r>
              <w:rPr>
                <w:rFonts w:hint="default" w:ascii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Materiales</w:t>
            </w:r>
            <w:r>
              <w:rPr>
                <w:rFonts w:hint="default" w:ascii="Arial" w:hAnsi="Arial" w:cs="Arial"/>
                <w:spacing w:val="-11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 xml:space="preserve">y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Servicios</w:t>
            </w:r>
          </w:p>
        </w:tc>
        <w:tc>
          <w:tcPr>
            <w:tcW w:w="2365" w:type="dxa"/>
            <w:tcBorders>
              <w:left w:val="single" w:color="000000" w:sz="12" w:space="0"/>
            </w:tcBorders>
            <w:vAlign w:val="center"/>
          </w:tcPr>
          <w:p w14:paraId="7337F89B">
            <w:pPr>
              <w:rPr>
                <w:rFonts w:hint="default" w:ascii="Arial" w:hAnsi="Arial" w:eastAsia="Times New Roman" w:cs="Arial"/>
                <w:sz w:val="16"/>
                <w:szCs w:val="16"/>
              </w:rPr>
            </w:pPr>
          </w:p>
        </w:tc>
      </w:tr>
      <w:tr w14:paraId="68E9DDD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91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98859CF">
            <w:pPr>
              <w:pStyle w:val="10"/>
              <w:spacing w:before="133"/>
              <w:ind w:right="0" w:rightChars="0"/>
              <w:rPr>
                <w:rFonts w:hint="default" w:ascii="Arial" w:hAnsi="Arial" w:cs="Arial"/>
                <w:spacing w:val="-2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Requisición</w:t>
            </w:r>
            <w:r>
              <w:rPr>
                <w:rFonts w:hint="default" w:ascii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de</w:t>
            </w:r>
            <w:r>
              <w:rPr>
                <w:rFonts w:hint="default" w:ascii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Bienes</w:t>
            </w:r>
            <w:r>
              <w:rPr>
                <w:rFonts w:hint="default" w:ascii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y</w:t>
            </w:r>
            <w:r>
              <w:rPr>
                <w:rFonts w:hint="default" w:ascii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Servicios</w:t>
            </w:r>
          </w:p>
        </w:tc>
        <w:tc>
          <w:tcPr>
            <w:tcW w:w="140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B5DCCE2">
            <w:pPr>
              <w:pStyle w:val="10"/>
              <w:spacing w:before="133"/>
              <w:ind w:left="135" w:leftChars="0" w:right="0" w:rightChars="0"/>
              <w:rPr>
                <w:rFonts w:hint="default" w:ascii="Arial" w:hAnsi="Arial" w:cs="Arial"/>
                <w:spacing w:val="-2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ITPAC-AD-FO-</w:t>
            </w:r>
            <w:r>
              <w:rPr>
                <w:rFonts w:hint="default" w:ascii="Arial" w:hAnsi="Arial" w:cs="Arial"/>
                <w:spacing w:val="-5"/>
                <w:sz w:val="16"/>
                <w:szCs w:val="16"/>
              </w:rPr>
              <w:t>03</w:t>
            </w:r>
          </w:p>
        </w:tc>
        <w:tc>
          <w:tcPr>
            <w:tcW w:w="11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CA3AFC0">
            <w:pPr>
              <w:pStyle w:val="10"/>
              <w:spacing w:before="29"/>
              <w:ind w:left="14" w:leftChars="0" w:right="14" w:rightChars="0"/>
              <w:jc w:val="center"/>
              <w:rPr>
                <w:rFonts w:hint="default"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Cronológico</w:t>
            </w:r>
          </w:p>
        </w:tc>
        <w:tc>
          <w:tcPr>
            <w:tcW w:w="151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5020A510">
            <w:pPr>
              <w:pStyle w:val="10"/>
              <w:tabs>
                <w:tab w:val="left" w:pos="1236"/>
              </w:tabs>
              <w:spacing w:before="29"/>
              <w:ind w:left="109" w:leftChars="0" w:right="91" w:rightChars="0"/>
              <w:rPr>
                <w:rFonts w:hint="default"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Carpeta</w:t>
            </w:r>
            <w:r>
              <w:rPr>
                <w:rFonts w:hint="default" w:ascii="Arial" w:hAnsi="Arial" w:cs="Arial"/>
                <w:sz w:val="16"/>
                <w:szCs w:val="16"/>
              </w:rPr>
              <w:tab/>
            </w: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 xml:space="preserve">y/o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28AD072">
            <w:pPr>
              <w:pStyle w:val="10"/>
              <w:spacing w:before="29" w:line="278" w:lineRule="auto"/>
              <w:ind w:left="110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 xml:space="preserve">Trámite: </w:t>
            </w:r>
            <w:r>
              <w:rPr>
                <w:rFonts w:hint="default" w:ascii="Arial" w:hAnsi="Arial" w:cs="Arial"/>
                <w:sz w:val="16"/>
                <w:szCs w:val="16"/>
                <w:u w:val="single"/>
              </w:rPr>
              <w:t>2</w:t>
            </w:r>
            <w:r>
              <w:rPr>
                <w:rFonts w:hint="default" w:ascii="Arial" w:hAnsi="Arial" w:cs="Arial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Concentración:</w:t>
            </w:r>
          </w:p>
          <w:p w14:paraId="24E1EF64">
            <w:pPr>
              <w:pStyle w:val="10"/>
              <w:spacing w:line="153" w:lineRule="exact"/>
              <w:ind w:left="110"/>
              <w:rPr>
                <w:rFonts w:hint="default" w:ascii="Arial" w:hAnsi="Arial" w:cs="Arial"/>
                <w:sz w:val="16"/>
                <w:szCs w:val="16"/>
                <w:u w:val="single"/>
              </w:rPr>
            </w:pPr>
            <w:r>
              <w:rPr>
                <w:rFonts w:hint="default" w:ascii="Arial" w:hAnsi="Arial" w:cs="Arial"/>
                <w:spacing w:val="-5"/>
                <w:sz w:val="16"/>
                <w:szCs w:val="16"/>
                <w:u w:val="single"/>
              </w:rPr>
              <w:t xml:space="preserve"> 23 </w:t>
            </w:r>
          </w:p>
          <w:p w14:paraId="5D0CA0EB">
            <w:pPr>
              <w:pStyle w:val="10"/>
              <w:spacing w:before="30" w:line="163" w:lineRule="exact"/>
              <w:ind w:left="110" w:leftChars="0"/>
              <w:rPr>
                <w:rFonts w:hint="default"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Total:</w:t>
            </w:r>
            <w:r>
              <w:rPr>
                <w:rFonts w:hint="default" w:ascii="Arial" w:hAnsi="Arial" w:cs="Arial"/>
                <w:spacing w:val="44"/>
                <w:sz w:val="16"/>
                <w:szCs w:val="16"/>
              </w:rPr>
              <w:t xml:space="preserve">  </w:t>
            </w: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25</w:t>
            </w: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CE31F94">
            <w:pPr>
              <w:pStyle w:val="10"/>
              <w:spacing w:before="29" w:line="276" w:lineRule="auto"/>
              <w:ind w:left="111" w:leftChars="0"/>
              <w:rPr>
                <w:rFonts w:hint="default"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Conservación</w:t>
            </w:r>
            <w:r>
              <w:rPr>
                <w:rFonts w:hint="default" w:ascii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( x</w:t>
            </w:r>
            <w:r>
              <w:rPr>
                <w:rFonts w:hint="default" w:ascii="Arial" w:hAnsi="Arial" w:cs="Arial"/>
                <w:spacing w:val="20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) Eliminación (  ) Muestreo (</w:t>
            </w:r>
            <w:r>
              <w:rPr>
                <w:rFonts w:hint="default" w:ascii="Arial" w:hAnsi="Arial" w:cs="Arial"/>
                <w:spacing w:val="40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38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A11F372">
            <w:pPr>
              <w:pStyle w:val="10"/>
              <w:spacing w:before="27"/>
              <w:ind w:left="130" w:leftChars="0" w:right="303" w:rightChars="0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Recursos</w:t>
            </w:r>
            <w:r>
              <w:rPr>
                <w:rFonts w:hint="default" w:ascii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Materiales</w:t>
            </w:r>
            <w:r>
              <w:rPr>
                <w:rFonts w:hint="default" w:ascii="Arial" w:hAnsi="Arial" w:cs="Arial"/>
                <w:spacing w:val="-11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 xml:space="preserve">y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Servicios</w:t>
            </w:r>
          </w:p>
        </w:tc>
        <w:tc>
          <w:tcPr>
            <w:tcW w:w="2365" w:type="dxa"/>
            <w:tcBorders>
              <w:left w:val="single" w:color="000000" w:sz="12" w:space="0"/>
            </w:tcBorders>
            <w:vAlign w:val="center"/>
          </w:tcPr>
          <w:p w14:paraId="00DD8232">
            <w:pPr>
              <w:rPr>
                <w:rFonts w:hint="default" w:ascii="Arial" w:hAnsi="Arial" w:eastAsia="Times New Roman" w:cs="Arial"/>
                <w:sz w:val="16"/>
                <w:szCs w:val="16"/>
              </w:rPr>
            </w:pPr>
          </w:p>
        </w:tc>
      </w:tr>
      <w:tr w14:paraId="6BDE5DD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91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240AA7D">
            <w:pPr>
              <w:pStyle w:val="10"/>
              <w:spacing w:before="100" w:line="175" w:lineRule="auto"/>
              <w:ind w:right="815" w:rightChars="0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Catálo</w:t>
            </w:r>
            <w:r>
              <w:rPr>
                <w:rFonts w:hint="default" w:ascii="Arial" w:hAnsi="Arial" w:cs="Arial"/>
                <w:sz w:val="16"/>
                <w:szCs w:val="16"/>
                <w:lang w:val="es-MX"/>
              </w:rPr>
              <w:t>g</w:t>
            </w:r>
            <w:r>
              <w:rPr>
                <w:rFonts w:hint="default" w:ascii="Arial" w:hAnsi="Arial" w:cs="Arial"/>
                <w:sz w:val="16"/>
                <w:szCs w:val="16"/>
              </w:rPr>
              <w:t>o</w:t>
            </w:r>
            <w:r>
              <w:rPr>
                <w:rFonts w:hint="default" w:ascii="Arial" w:hAnsi="Arial" w:cs="Arial"/>
                <w:sz w:val="16"/>
                <w:szCs w:val="16"/>
                <w:lang w:val="es-MX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de</w:t>
            </w:r>
            <w:r>
              <w:rPr>
                <w:rFonts w:hint="default" w:ascii="Arial" w:hAnsi="Arial" w:cs="Arial"/>
                <w:spacing w:val="-11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 xml:space="preserve">Proveedores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Aprob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  <w:lang w:val="es-MX"/>
              </w:rPr>
              <w:t>a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dos</w:t>
            </w:r>
          </w:p>
        </w:tc>
        <w:tc>
          <w:tcPr>
            <w:tcW w:w="140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9990BFD">
            <w:pPr>
              <w:pStyle w:val="10"/>
              <w:spacing w:before="138"/>
              <w:ind w:left="135" w:leftChars="0" w:right="0" w:rightChars="0"/>
              <w:rPr>
                <w:rFonts w:hint="default" w:ascii="Arial" w:hAnsi="Arial" w:cs="Arial"/>
                <w:spacing w:val="-2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ITPAC-AD-FO-</w:t>
            </w:r>
            <w:r>
              <w:rPr>
                <w:rFonts w:hint="default" w:ascii="Arial" w:hAnsi="Arial" w:cs="Arial"/>
                <w:spacing w:val="-5"/>
                <w:sz w:val="16"/>
                <w:szCs w:val="16"/>
              </w:rPr>
              <w:t>04</w:t>
            </w:r>
          </w:p>
        </w:tc>
        <w:tc>
          <w:tcPr>
            <w:tcW w:w="11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589A119B">
            <w:pPr>
              <w:pStyle w:val="10"/>
              <w:spacing w:before="29"/>
              <w:ind w:left="14" w:leftChars="0" w:right="14" w:rightChars="0"/>
              <w:jc w:val="center"/>
              <w:rPr>
                <w:rFonts w:hint="default" w:ascii="Arial" w:hAnsi="Arial" w:cs="Arial"/>
                <w:spacing w:val="-2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Cronológico</w:t>
            </w:r>
          </w:p>
        </w:tc>
        <w:tc>
          <w:tcPr>
            <w:tcW w:w="151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DD52DB2">
            <w:pPr>
              <w:pStyle w:val="10"/>
              <w:tabs>
                <w:tab w:val="left" w:pos="1236"/>
              </w:tabs>
              <w:spacing w:before="29"/>
              <w:ind w:left="109" w:leftChars="0" w:right="91" w:rightChars="0"/>
              <w:rPr>
                <w:rFonts w:hint="default" w:ascii="Arial" w:hAnsi="Arial" w:cs="Arial"/>
                <w:spacing w:val="-2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Carpeta</w:t>
            </w:r>
            <w:r>
              <w:rPr>
                <w:rFonts w:hint="default" w:ascii="Arial" w:hAnsi="Arial" w:cs="Arial"/>
                <w:sz w:val="16"/>
                <w:szCs w:val="16"/>
              </w:rPr>
              <w:tab/>
            </w: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 xml:space="preserve">y/o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7AE69C4">
            <w:pPr>
              <w:pStyle w:val="10"/>
              <w:spacing w:before="29" w:line="278" w:lineRule="auto"/>
              <w:ind w:left="110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 xml:space="preserve">Trámite: </w:t>
            </w:r>
            <w:r>
              <w:rPr>
                <w:rFonts w:hint="default" w:ascii="Arial" w:hAnsi="Arial" w:cs="Arial"/>
                <w:sz w:val="16"/>
                <w:szCs w:val="16"/>
                <w:u w:val="single"/>
              </w:rPr>
              <w:t>2</w:t>
            </w:r>
            <w:r>
              <w:rPr>
                <w:rFonts w:hint="default" w:ascii="Arial" w:hAnsi="Arial" w:cs="Arial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Concentración:</w:t>
            </w:r>
          </w:p>
          <w:p w14:paraId="691E7AD3">
            <w:pPr>
              <w:pStyle w:val="10"/>
              <w:spacing w:line="153" w:lineRule="exact"/>
              <w:ind w:left="110"/>
              <w:rPr>
                <w:rFonts w:hint="default" w:ascii="Arial" w:hAnsi="Arial" w:cs="Arial"/>
                <w:sz w:val="16"/>
                <w:szCs w:val="16"/>
                <w:u w:val="single"/>
              </w:rPr>
            </w:pPr>
            <w:r>
              <w:rPr>
                <w:rFonts w:hint="default" w:ascii="Arial" w:hAnsi="Arial" w:cs="Arial"/>
                <w:spacing w:val="-5"/>
                <w:sz w:val="16"/>
                <w:szCs w:val="16"/>
                <w:u w:val="single"/>
              </w:rPr>
              <w:t xml:space="preserve"> 23 </w:t>
            </w:r>
          </w:p>
          <w:p w14:paraId="44D99DE7">
            <w:pPr>
              <w:pStyle w:val="10"/>
              <w:spacing w:before="30" w:line="163" w:lineRule="exact"/>
              <w:ind w:left="110" w:leftChars="0" w:right="0" w:rightChars="0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Total:</w:t>
            </w:r>
            <w:r>
              <w:rPr>
                <w:rFonts w:hint="default" w:ascii="Arial" w:hAnsi="Arial" w:cs="Arial"/>
                <w:spacing w:val="44"/>
                <w:sz w:val="16"/>
                <w:szCs w:val="16"/>
              </w:rPr>
              <w:t xml:space="preserve">  </w:t>
            </w: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25</w:t>
            </w: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904DE93">
            <w:pPr>
              <w:pStyle w:val="10"/>
              <w:spacing w:before="29" w:line="276" w:lineRule="auto"/>
              <w:ind w:left="111" w:leftChars="0" w:right="0" w:rightChars="0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Conservación</w:t>
            </w:r>
            <w:r>
              <w:rPr>
                <w:rFonts w:hint="default" w:ascii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( x</w:t>
            </w:r>
            <w:r>
              <w:rPr>
                <w:rFonts w:hint="default" w:ascii="Arial" w:hAnsi="Arial" w:cs="Arial"/>
                <w:spacing w:val="20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) Eliminación (  ) Muestreo (</w:t>
            </w:r>
            <w:r>
              <w:rPr>
                <w:rFonts w:hint="default" w:ascii="Arial" w:hAnsi="Arial" w:cs="Arial"/>
                <w:spacing w:val="40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38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2F35F65D">
            <w:pPr>
              <w:pStyle w:val="10"/>
              <w:spacing w:before="32"/>
              <w:ind w:left="130" w:leftChars="0" w:right="303" w:rightChars="0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Recursos</w:t>
            </w:r>
            <w:r>
              <w:rPr>
                <w:rFonts w:hint="default" w:ascii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Materiales</w:t>
            </w:r>
            <w:r>
              <w:rPr>
                <w:rFonts w:hint="default" w:ascii="Arial" w:hAnsi="Arial" w:cs="Arial"/>
                <w:spacing w:val="-11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 xml:space="preserve">y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Servicios</w:t>
            </w:r>
          </w:p>
        </w:tc>
        <w:tc>
          <w:tcPr>
            <w:tcW w:w="2365" w:type="dxa"/>
            <w:tcBorders>
              <w:left w:val="single" w:color="000000" w:sz="12" w:space="0"/>
            </w:tcBorders>
            <w:vAlign w:val="center"/>
          </w:tcPr>
          <w:p w14:paraId="5F949FF0">
            <w:pPr>
              <w:rPr>
                <w:rFonts w:hint="default" w:ascii="Arial" w:hAnsi="Arial" w:eastAsia="Times New Roman" w:cs="Arial"/>
                <w:sz w:val="16"/>
                <w:szCs w:val="16"/>
              </w:rPr>
            </w:pPr>
          </w:p>
        </w:tc>
      </w:tr>
      <w:tr w14:paraId="0B18905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91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1241F11E">
            <w:pPr>
              <w:pStyle w:val="10"/>
              <w:spacing w:before="98" w:line="175" w:lineRule="auto"/>
              <w:ind w:right="1" w:rightChars="0"/>
              <w:jc w:val="left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Orden</w:t>
            </w: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de</w:t>
            </w: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Compra</w:t>
            </w:r>
            <w:r>
              <w:rPr>
                <w:rFonts w:hint="default" w:ascii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del</w:t>
            </w:r>
            <w:r>
              <w:rPr>
                <w:rFonts w:hint="default" w:ascii="Arial" w:hAnsi="Arial" w:cs="Arial"/>
                <w:spacing w:val="-11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Bien</w:t>
            </w:r>
            <w:r>
              <w:rPr>
                <w:rFonts w:hint="default" w:ascii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 xml:space="preserve">o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Servicio</w:t>
            </w:r>
          </w:p>
        </w:tc>
        <w:tc>
          <w:tcPr>
            <w:tcW w:w="140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CFEC1AF">
            <w:pPr>
              <w:pStyle w:val="10"/>
              <w:spacing w:before="135"/>
              <w:ind w:left="135" w:leftChars="0" w:right="0" w:rightChars="0"/>
              <w:rPr>
                <w:rFonts w:hint="default" w:ascii="Arial" w:hAnsi="Arial" w:cs="Arial"/>
                <w:spacing w:val="-2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ITPAC-AD-RC-</w:t>
            </w:r>
            <w:r>
              <w:rPr>
                <w:rFonts w:hint="default" w:ascii="Arial" w:hAnsi="Arial" w:cs="Arial"/>
                <w:spacing w:val="-5"/>
                <w:sz w:val="16"/>
                <w:szCs w:val="16"/>
              </w:rPr>
              <w:t>05</w:t>
            </w:r>
          </w:p>
        </w:tc>
        <w:tc>
          <w:tcPr>
            <w:tcW w:w="119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38B95A2">
            <w:pPr>
              <w:pStyle w:val="10"/>
              <w:spacing w:before="29"/>
              <w:ind w:left="14" w:leftChars="0" w:right="14" w:rightChars="0"/>
              <w:jc w:val="center"/>
              <w:rPr>
                <w:rFonts w:hint="default" w:ascii="Arial" w:hAnsi="Arial" w:cs="Arial"/>
                <w:spacing w:val="-2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Cronológico</w:t>
            </w:r>
          </w:p>
        </w:tc>
        <w:tc>
          <w:tcPr>
            <w:tcW w:w="151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5C8D336">
            <w:pPr>
              <w:pStyle w:val="10"/>
              <w:tabs>
                <w:tab w:val="left" w:pos="1236"/>
              </w:tabs>
              <w:spacing w:before="29"/>
              <w:ind w:left="109" w:leftChars="0" w:right="91" w:rightChars="0"/>
              <w:rPr>
                <w:rFonts w:hint="default" w:ascii="Arial" w:hAnsi="Arial" w:cs="Arial"/>
                <w:spacing w:val="-2"/>
                <w:sz w:val="16"/>
                <w:szCs w:val="16"/>
              </w:rPr>
            </w:pP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Carpeta</w:t>
            </w:r>
            <w:r>
              <w:rPr>
                <w:rFonts w:hint="default" w:ascii="Arial" w:hAnsi="Arial" w:cs="Arial"/>
                <w:sz w:val="16"/>
                <w:szCs w:val="16"/>
              </w:rPr>
              <w:tab/>
            </w:r>
            <w:r>
              <w:rPr>
                <w:rFonts w:hint="default" w:ascii="Arial" w:hAnsi="Arial" w:cs="Arial"/>
                <w:spacing w:val="-4"/>
                <w:sz w:val="16"/>
                <w:szCs w:val="16"/>
              </w:rPr>
              <w:t xml:space="preserve">y/o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54ED0CB5">
            <w:pPr>
              <w:pStyle w:val="10"/>
              <w:spacing w:before="29" w:line="278" w:lineRule="auto"/>
              <w:ind w:left="110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 xml:space="preserve">Trámite: </w:t>
            </w:r>
            <w:r>
              <w:rPr>
                <w:rFonts w:hint="default" w:ascii="Arial" w:hAnsi="Arial" w:cs="Arial"/>
                <w:sz w:val="16"/>
                <w:szCs w:val="16"/>
                <w:u w:val="single"/>
              </w:rPr>
              <w:t>2</w:t>
            </w:r>
            <w:r>
              <w:rPr>
                <w:rFonts w:hint="default" w:ascii="Arial" w:hAnsi="Arial" w:cs="Arial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Concentración:</w:t>
            </w:r>
          </w:p>
          <w:p w14:paraId="46A1C6D9">
            <w:pPr>
              <w:pStyle w:val="10"/>
              <w:spacing w:line="153" w:lineRule="exact"/>
              <w:ind w:left="110"/>
              <w:rPr>
                <w:rFonts w:hint="default" w:ascii="Arial" w:hAnsi="Arial" w:cs="Arial"/>
                <w:sz w:val="16"/>
                <w:szCs w:val="16"/>
                <w:u w:val="single"/>
              </w:rPr>
            </w:pPr>
            <w:r>
              <w:rPr>
                <w:rFonts w:hint="default" w:ascii="Arial" w:hAnsi="Arial" w:cs="Arial"/>
                <w:spacing w:val="-5"/>
                <w:sz w:val="16"/>
                <w:szCs w:val="16"/>
                <w:u w:val="single"/>
              </w:rPr>
              <w:t xml:space="preserve"> 23 </w:t>
            </w:r>
          </w:p>
          <w:p w14:paraId="15285F31">
            <w:pPr>
              <w:pStyle w:val="10"/>
              <w:spacing w:before="30" w:line="163" w:lineRule="exact"/>
              <w:ind w:left="110" w:leftChars="0" w:right="0" w:rightChars="0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Total:</w:t>
            </w:r>
            <w:r>
              <w:rPr>
                <w:rFonts w:hint="default" w:ascii="Arial" w:hAnsi="Arial" w:cs="Arial"/>
                <w:spacing w:val="44"/>
                <w:sz w:val="16"/>
                <w:szCs w:val="16"/>
              </w:rPr>
              <w:t xml:space="preserve">  </w:t>
            </w:r>
            <w:r>
              <w:rPr>
                <w:rFonts w:hint="default" w:ascii="Arial" w:hAnsi="Arial" w:cs="Arial"/>
                <w:spacing w:val="-10"/>
                <w:sz w:val="16"/>
                <w:szCs w:val="16"/>
              </w:rPr>
              <w:t>25</w:t>
            </w: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3CC1227">
            <w:pPr>
              <w:pStyle w:val="10"/>
              <w:spacing w:before="29" w:line="276" w:lineRule="auto"/>
              <w:ind w:left="111" w:leftChars="0" w:right="0" w:rightChars="0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Conservación</w:t>
            </w:r>
            <w:r>
              <w:rPr>
                <w:rFonts w:hint="default" w:ascii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( x</w:t>
            </w:r>
            <w:r>
              <w:rPr>
                <w:rFonts w:hint="default" w:ascii="Arial" w:hAnsi="Arial" w:cs="Arial"/>
                <w:spacing w:val="20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) Eliminación (  ) Muestreo (</w:t>
            </w:r>
            <w:r>
              <w:rPr>
                <w:rFonts w:hint="default" w:ascii="Arial" w:hAnsi="Arial" w:cs="Arial"/>
                <w:spacing w:val="40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38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0B907FF">
            <w:pPr>
              <w:pStyle w:val="10"/>
              <w:spacing w:before="30"/>
              <w:ind w:left="130" w:leftChars="0" w:right="303" w:rightChars="0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6"/>
                <w:szCs w:val="16"/>
              </w:rPr>
              <w:t>Recursos</w:t>
            </w:r>
            <w:r>
              <w:rPr>
                <w:rFonts w:hint="default" w:ascii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>Materiales</w:t>
            </w:r>
            <w:r>
              <w:rPr>
                <w:rFonts w:hint="default" w:ascii="Arial" w:hAnsi="Arial" w:cs="Arial"/>
                <w:spacing w:val="-11"/>
                <w:sz w:val="16"/>
                <w:szCs w:val="16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</w:rPr>
              <w:t xml:space="preserve">y </w:t>
            </w:r>
            <w:r>
              <w:rPr>
                <w:rFonts w:hint="default" w:ascii="Arial" w:hAnsi="Arial" w:cs="Arial"/>
                <w:spacing w:val="-2"/>
                <w:sz w:val="16"/>
                <w:szCs w:val="16"/>
              </w:rPr>
              <w:t>Servicios</w:t>
            </w:r>
          </w:p>
        </w:tc>
        <w:tc>
          <w:tcPr>
            <w:tcW w:w="2365" w:type="dxa"/>
            <w:tcBorders>
              <w:left w:val="single" w:color="000000" w:sz="12" w:space="0"/>
            </w:tcBorders>
            <w:vAlign w:val="center"/>
          </w:tcPr>
          <w:p w14:paraId="05F99F3D">
            <w:pPr>
              <w:rPr>
                <w:rFonts w:hint="default" w:ascii="Arial" w:hAnsi="Arial" w:eastAsia="Times New Roman" w:cs="Arial"/>
                <w:sz w:val="16"/>
                <w:szCs w:val="16"/>
              </w:rPr>
            </w:pPr>
          </w:p>
        </w:tc>
      </w:tr>
    </w:tbl>
    <w:p w14:paraId="4C8FFBEB">
      <w:pPr>
        <w:pStyle w:val="7"/>
        <w:spacing w:before="166"/>
        <w:ind w:left="0"/>
        <w:jc w:val="left"/>
        <w:rPr>
          <w:b/>
          <w:sz w:val="24"/>
        </w:rPr>
      </w:pPr>
    </w:p>
    <w:p w14:paraId="6D2AA62F">
      <w:pPr>
        <w:pStyle w:val="2"/>
        <w:numPr>
          <w:ilvl w:val="0"/>
          <w:numId w:val="1"/>
        </w:numPr>
        <w:tabs>
          <w:tab w:val="left" w:pos="659"/>
        </w:tabs>
        <w:spacing w:before="0" w:after="0" w:line="240" w:lineRule="auto"/>
        <w:ind w:left="659" w:right="0" w:hanging="359"/>
        <w:jc w:val="left"/>
      </w:pPr>
      <w:r>
        <w:t>Control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cambios</w:t>
      </w:r>
      <w:r>
        <w:rPr>
          <w:spacing w:val="-2"/>
        </w:rPr>
        <w:br w:type="textWrapping"/>
      </w:r>
    </w:p>
    <w:p w14:paraId="0571F8AB">
      <w:pPr>
        <w:pStyle w:val="2"/>
        <w:numPr>
          <w:numId w:val="0"/>
        </w:numPr>
        <w:tabs>
          <w:tab w:val="left" w:pos="659"/>
        </w:tabs>
        <w:spacing w:before="0" w:after="0" w:line="240" w:lineRule="auto"/>
        <w:ind w:left="300" w:leftChars="0" w:right="0" w:rightChars="0"/>
        <w:jc w:val="left"/>
      </w:pPr>
    </w:p>
    <w:p w14:paraId="42C06528">
      <w:pPr>
        <w:pStyle w:val="2"/>
        <w:numPr>
          <w:numId w:val="0"/>
        </w:numPr>
        <w:tabs>
          <w:tab w:val="left" w:pos="659"/>
        </w:tabs>
        <w:spacing w:before="0" w:after="0" w:line="240" w:lineRule="auto"/>
        <w:ind w:left="300" w:leftChars="0" w:right="0" w:rightChars="0"/>
        <w:jc w:val="left"/>
      </w:pPr>
    </w:p>
    <w:tbl>
      <w:tblPr>
        <w:tblStyle w:val="5"/>
        <w:tblW w:w="0" w:type="auto"/>
        <w:tblInd w:w="7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0"/>
        <w:gridCol w:w="1904"/>
        <w:gridCol w:w="5968"/>
      </w:tblGrid>
      <w:tr w14:paraId="767CDE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9142" w:type="dxa"/>
            <w:gridSpan w:val="3"/>
            <w:shd w:val="clear" w:color="auto" w:fill="F1F1F1"/>
          </w:tcPr>
          <w:p w14:paraId="64EED1F0">
            <w:pPr>
              <w:pStyle w:val="10"/>
              <w:spacing w:before="102" w:line="249" w:lineRule="exact"/>
              <w:ind w:left="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Cambios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esta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versión</w:t>
            </w:r>
          </w:p>
        </w:tc>
      </w:tr>
      <w:tr w14:paraId="4EB4CC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1270" w:type="dxa"/>
            <w:shd w:val="clear" w:color="auto" w:fill="F1F1F1"/>
          </w:tcPr>
          <w:p w14:paraId="49538B16">
            <w:pPr>
              <w:pStyle w:val="10"/>
              <w:spacing w:before="82" w:line="270" w:lineRule="atLeast"/>
              <w:ind w:left="297" w:right="107" w:hanging="178"/>
              <w:rPr>
                <w:b/>
                <w:sz w:val="22"/>
              </w:rPr>
            </w:pPr>
            <w:r>
              <w:rPr>
                <w:b/>
                <w:sz w:val="22"/>
              </w:rPr>
              <w:t>Número</w:t>
            </w:r>
            <w:r>
              <w:rPr>
                <w:b/>
                <w:spacing w:val="-13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de </w:t>
            </w:r>
            <w:r>
              <w:rPr>
                <w:b/>
                <w:spacing w:val="-2"/>
                <w:sz w:val="22"/>
              </w:rPr>
              <w:t>versión</w:t>
            </w:r>
          </w:p>
        </w:tc>
        <w:tc>
          <w:tcPr>
            <w:tcW w:w="1904" w:type="dxa"/>
            <w:shd w:val="clear" w:color="auto" w:fill="F1F1F1"/>
          </w:tcPr>
          <w:p w14:paraId="7C1848F8">
            <w:pPr>
              <w:pStyle w:val="10"/>
              <w:spacing w:before="82" w:line="270" w:lineRule="atLeast"/>
              <w:ind w:left="356" w:firstLine="192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Fecha de </w:t>
            </w:r>
            <w:r>
              <w:rPr>
                <w:b/>
                <w:spacing w:val="-2"/>
                <w:sz w:val="22"/>
              </w:rPr>
              <w:t>actualización</w:t>
            </w:r>
          </w:p>
        </w:tc>
        <w:tc>
          <w:tcPr>
            <w:tcW w:w="5968" w:type="dxa"/>
            <w:shd w:val="clear" w:color="auto" w:fill="F1F1F1"/>
          </w:tcPr>
          <w:p w14:paraId="16B703D3">
            <w:pPr>
              <w:pStyle w:val="10"/>
              <w:spacing w:before="239"/>
              <w:ind w:left="1923"/>
              <w:rPr>
                <w:b/>
                <w:sz w:val="22"/>
              </w:rPr>
            </w:pPr>
            <w:r>
              <w:rPr>
                <w:b/>
                <w:sz w:val="22"/>
              </w:rPr>
              <w:t>Descripción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z w:val="22"/>
              </w:rPr>
              <w:t>del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cambio</w:t>
            </w:r>
          </w:p>
        </w:tc>
      </w:tr>
      <w:tr w14:paraId="0DDC8C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1270" w:type="dxa"/>
          </w:tcPr>
          <w:p w14:paraId="58EEA4A7">
            <w:pPr>
              <w:pStyle w:val="10"/>
              <w:spacing w:before="119"/>
              <w:rPr>
                <w:b/>
                <w:sz w:val="20"/>
              </w:rPr>
            </w:pPr>
          </w:p>
          <w:p w14:paraId="02FBFD78">
            <w:pPr>
              <w:pStyle w:val="10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04" w:type="dxa"/>
          </w:tcPr>
          <w:p w14:paraId="6371C16F">
            <w:pPr>
              <w:pStyle w:val="10"/>
              <w:spacing w:before="114"/>
              <w:ind w:left="757" w:hanging="608"/>
              <w:rPr>
                <w:sz w:val="20"/>
              </w:rPr>
            </w:pPr>
            <w:r>
              <w:rPr>
                <w:sz w:val="20"/>
              </w:rPr>
              <w:t>06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noviembre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4"/>
                <w:sz w:val="20"/>
              </w:rPr>
              <w:t>2020</w:t>
            </w:r>
          </w:p>
        </w:tc>
        <w:tc>
          <w:tcPr>
            <w:tcW w:w="5968" w:type="dxa"/>
          </w:tcPr>
          <w:p w14:paraId="11149FD4">
            <w:pPr>
              <w:pStyle w:val="10"/>
              <w:spacing w:before="114"/>
              <w:ind w:left="83" w:right="290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página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encabezado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nueva versión dedocumentos.</w:t>
            </w:r>
          </w:p>
        </w:tc>
      </w:tr>
      <w:tr w14:paraId="49A720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1270" w:type="dxa"/>
          </w:tcPr>
          <w:p w14:paraId="64920D57">
            <w:pPr>
              <w:pStyle w:val="10"/>
              <w:spacing w:before="241"/>
              <w:ind w:left="26"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04" w:type="dxa"/>
          </w:tcPr>
          <w:p w14:paraId="1B045A29">
            <w:pPr>
              <w:pStyle w:val="10"/>
              <w:spacing w:before="236"/>
              <w:ind w:left="136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mayo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968" w:type="dxa"/>
          </w:tcPr>
          <w:p w14:paraId="3FC8718E">
            <w:pPr>
              <w:pStyle w:val="10"/>
              <w:spacing w:before="114"/>
              <w:ind w:left="83" w:right="290"/>
              <w:rPr>
                <w:sz w:val="20"/>
              </w:rPr>
            </w:pPr>
            <w:r>
              <w:rPr>
                <w:sz w:val="20"/>
              </w:rPr>
              <w:t>Revisión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completa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implementación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Gestión </w:t>
            </w:r>
            <w:r>
              <w:rPr>
                <w:spacing w:val="-2"/>
                <w:sz w:val="20"/>
              </w:rPr>
              <w:t>Integrado.</w:t>
            </w:r>
          </w:p>
        </w:tc>
      </w:tr>
      <w:tr w14:paraId="02F84B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1270" w:type="dxa"/>
          </w:tcPr>
          <w:p w14:paraId="2A9B40C9">
            <w:pPr>
              <w:pStyle w:val="10"/>
              <w:spacing w:before="241"/>
              <w:ind w:left="26" w:right="20"/>
              <w:jc w:val="center"/>
              <w:rPr>
                <w:rFonts w:hint="default"/>
                <w:spacing w:val="-10"/>
                <w:sz w:val="20"/>
                <w:lang w:val="es-MX"/>
              </w:rPr>
            </w:pPr>
            <w:r>
              <w:rPr>
                <w:rFonts w:hint="default"/>
                <w:spacing w:val="-10"/>
                <w:sz w:val="20"/>
                <w:lang w:val="es-MX"/>
              </w:rPr>
              <w:t>2</w:t>
            </w:r>
          </w:p>
        </w:tc>
        <w:tc>
          <w:tcPr>
            <w:tcW w:w="1904" w:type="dxa"/>
            <w:vAlign w:val="top"/>
          </w:tcPr>
          <w:p w14:paraId="36E56308">
            <w:pPr>
              <w:pStyle w:val="10"/>
              <w:spacing w:before="1"/>
              <w:ind w:left="94" w:leftChars="0" w:right="93" w:rightChars="0"/>
              <w:jc w:val="center"/>
              <w:rPr>
                <w:sz w:val="20"/>
              </w:rPr>
            </w:pPr>
            <w:r>
              <w:rPr>
                <w:rFonts w:hint="default" w:ascii="Calibri"/>
                <w:sz w:val="20"/>
                <w:lang w:val="es-MX"/>
              </w:rPr>
              <w:t>3 de agosto de 2026</w:t>
            </w:r>
          </w:p>
        </w:tc>
        <w:tc>
          <w:tcPr>
            <w:tcW w:w="5968" w:type="dxa"/>
            <w:vAlign w:val="top"/>
          </w:tcPr>
          <w:p w14:paraId="04490B67">
            <w:pPr>
              <w:pStyle w:val="10"/>
              <w:spacing w:line="240" w:lineRule="atLeast"/>
              <w:ind w:left="106" w:leftChars="0" w:right="0" w:rightChars="0"/>
              <w:rPr>
                <w:sz w:val="20"/>
              </w:rPr>
            </w:pPr>
            <w:r>
              <w:rPr>
                <w:rFonts w:hint="default" w:ascii="Calibri" w:hAnsi="Calibri"/>
                <w:sz w:val="20"/>
                <w:lang w:val="es-MX"/>
              </w:rPr>
              <w:t>Revisión general del procedimiento y se actualizó el encabezado del procedimiento.</w:t>
            </w:r>
            <w:r>
              <w:rPr>
                <w:rFonts w:hint="default" w:ascii="Calibri" w:hAnsi="Calibri"/>
                <w:sz w:val="20"/>
                <w:lang w:val="es-MX"/>
              </w:rPr>
              <w:br w:type="textWrapping"/>
            </w:r>
            <w:r>
              <w:rPr>
                <w:rFonts w:hint="default" w:ascii="Calibri" w:hAnsi="Calibri"/>
                <w:sz w:val="20"/>
                <w:lang w:val="es-MX"/>
              </w:rPr>
              <w:t>Se modificó el apartado 2 correspondiente a “Registros”, actualizando la estructura de la tabla e incorporando los campos: nombre, código, manejo, almacenamiento, vigencia, destino final y responsable.</w:t>
            </w:r>
            <w:r>
              <w:rPr>
                <w:rFonts w:hint="default" w:ascii="Calibri" w:hAnsi="Calibri"/>
                <w:sz w:val="20"/>
                <w:lang w:val="es-MX"/>
              </w:rPr>
              <w:br w:type="textWrapping"/>
            </w:r>
            <w:r>
              <w:rPr>
                <w:rFonts w:hint="default" w:ascii="Calibri" w:hAnsi="Calibri"/>
                <w:sz w:val="20"/>
                <w:lang w:val="es-MX"/>
              </w:rPr>
              <w:t>El apartado 3 se actualizo como cambios a esta versión y se agrego el apartado 4 “información y reportes generados para otras áreas”</w:t>
            </w:r>
          </w:p>
        </w:tc>
      </w:tr>
    </w:tbl>
    <w:p w14:paraId="32A75ABB">
      <w:pPr>
        <w:pStyle w:val="2"/>
        <w:numPr>
          <w:ilvl w:val="0"/>
          <w:numId w:val="1"/>
        </w:numPr>
        <w:tabs>
          <w:tab w:val="left" w:pos="659"/>
        </w:tabs>
        <w:spacing w:before="0" w:after="0" w:line="240" w:lineRule="auto"/>
        <w:ind w:left="659" w:right="0" w:hanging="359"/>
        <w:jc w:val="left"/>
      </w:pPr>
      <w:r>
        <w:rPr>
          <w:rFonts w:hint="default"/>
        </w:rPr>
        <w:t>Información y reportes generados para otras áreas</w:t>
      </w:r>
      <w:r>
        <w:rPr>
          <w:rFonts w:hint="default"/>
        </w:rPr>
        <w:br w:type="textWrapping"/>
      </w:r>
    </w:p>
    <w:tbl>
      <w:tblPr>
        <w:tblStyle w:val="8"/>
        <w:tblW w:w="0" w:type="auto"/>
        <w:tblInd w:w="3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41"/>
        <w:gridCol w:w="3401"/>
        <w:gridCol w:w="3404"/>
      </w:tblGrid>
      <w:tr w14:paraId="3D0469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3541" w:type="dxa"/>
          </w:tcPr>
          <w:p w14:paraId="43DDB897">
            <w:pPr>
              <w:pStyle w:val="10"/>
              <w:spacing w:before="29" w:line="255" w:lineRule="exact"/>
              <w:ind w:left="107"/>
              <w:jc w:val="center"/>
              <w:rPr>
                <w:rFonts w:hint="default" w:ascii="Calibri" w:hAnsi="Calibri" w:cs="Calibri"/>
                <w:b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sz w:val="24"/>
                <w:szCs w:val="24"/>
              </w:rPr>
              <w:t>Reporte</w:t>
            </w:r>
            <w:r>
              <w:rPr>
                <w:rFonts w:hint="default" w:ascii="Calibri" w:hAnsi="Calibri" w:cs="Calibri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Calibri" w:hAnsi="Calibri" w:cs="Calibri"/>
                <w:b/>
                <w:sz w:val="24"/>
                <w:szCs w:val="24"/>
              </w:rPr>
              <w:t>o</w:t>
            </w:r>
            <w:r>
              <w:rPr>
                <w:rFonts w:hint="default" w:ascii="Calibri" w:hAnsi="Calibri" w:cs="Calibri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Calibri" w:hAnsi="Calibri" w:cs="Calibri"/>
                <w:b/>
                <w:spacing w:val="-2"/>
                <w:sz w:val="24"/>
                <w:szCs w:val="24"/>
              </w:rPr>
              <w:t>Información</w:t>
            </w:r>
          </w:p>
        </w:tc>
        <w:tc>
          <w:tcPr>
            <w:tcW w:w="3401" w:type="dxa"/>
          </w:tcPr>
          <w:p w14:paraId="2BFF62BB">
            <w:pPr>
              <w:pStyle w:val="10"/>
              <w:spacing w:before="29" w:line="255" w:lineRule="exact"/>
              <w:ind w:left="107"/>
              <w:jc w:val="center"/>
              <w:rPr>
                <w:rFonts w:hint="default" w:ascii="Calibri" w:hAnsi="Calibri" w:cs="Calibri"/>
                <w:b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sz w:val="24"/>
                <w:szCs w:val="24"/>
              </w:rPr>
              <w:t>Área</w:t>
            </w:r>
            <w:r>
              <w:rPr>
                <w:rFonts w:hint="default" w:ascii="Calibri" w:hAnsi="Calibri" w:cs="Calibri"/>
                <w:b/>
                <w:spacing w:val="-2"/>
                <w:sz w:val="24"/>
                <w:szCs w:val="24"/>
              </w:rPr>
              <w:t xml:space="preserve"> Receptora</w:t>
            </w:r>
          </w:p>
        </w:tc>
        <w:tc>
          <w:tcPr>
            <w:tcW w:w="3404" w:type="dxa"/>
          </w:tcPr>
          <w:p w14:paraId="7F7B6CA8">
            <w:pPr>
              <w:pStyle w:val="10"/>
              <w:spacing w:before="29" w:line="255" w:lineRule="exact"/>
              <w:ind w:left="107"/>
              <w:jc w:val="center"/>
              <w:rPr>
                <w:rFonts w:hint="default" w:ascii="Calibri" w:hAnsi="Calibri" w:cs="Calibri"/>
                <w:b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spacing w:val="-2"/>
                <w:sz w:val="24"/>
                <w:szCs w:val="24"/>
              </w:rPr>
              <w:t>Periodicidad</w:t>
            </w:r>
          </w:p>
        </w:tc>
      </w:tr>
      <w:tr w14:paraId="20176C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3541" w:type="dxa"/>
            <w:vAlign w:val="top"/>
          </w:tcPr>
          <w:p w14:paraId="6D45F48B">
            <w:pPr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401" w:type="dxa"/>
            <w:vAlign w:val="top"/>
          </w:tcPr>
          <w:p w14:paraId="2FC358DB">
            <w:pPr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</w:p>
        </w:tc>
        <w:tc>
          <w:tcPr>
            <w:tcW w:w="3404" w:type="dxa"/>
            <w:vAlign w:val="top"/>
          </w:tcPr>
          <w:p w14:paraId="743493CF">
            <w:pPr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</w:p>
        </w:tc>
      </w:tr>
    </w:tbl>
    <w:p w14:paraId="5F581117">
      <w:pPr>
        <w:pStyle w:val="2"/>
        <w:numPr>
          <w:numId w:val="0"/>
        </w:numPr>
        <w:tabs>
          <w:tab w:val="left" w:pos="659"/>
        </w:tabs>
        <w:spacing w:before="0" w:after="0" w:line="240" w:lineRule="auto"/>
        <w:ind w:left="300" w:leftChars="0" w:right="0" w:rightChars="0"/>
        <w:jc w:val="left"/>
      </w:pPr>
    </w:p>
    <w:p w14:paraId="6076C9B2">
      <w:pPr>
        <w:pStyle w:val="2"/>
        <w:numPr>
          <w:numId w:val="0"/>
        </w:numPr>
        <w:tabs>
          <w:tab w:val="left" w:pos="659"/>
        </w:tabs>
        <w:spacing w:before="0" w:after="0" w:line="240" w:lineRule="auto"/>
        <w:ind w:left="300" w:leftChars="0" w:right="0" w:rightChars="0"/>
        <w:jc w:val="left"/>
      </w:pPr>
    </w:p>
    <w:p w14:paraId="347536F9">
      <w:pPr>
        <w:pStyle w:val="7"/>
        <w:spacing w:before="4"/>
        <w:ind w:left="0"/>
        <w:jc w:val="left"/>
        <w:rPr>
          <w:b/>
          <w:sz w:val="15"/>
        </w:rPr>
      </w:pPr>
    </w:p>
    <w:p w14:paraId="0D91D138"/>
    <w:sectPr>
      <w:pgSz w:w="12240" w:h="15840"/>
      <w:pgMar w:top="2060" w:right="1080" w:bottom="1260" w:left="720" w:header="715" w:footer="1056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1"/>
    <w:family w:val="roman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A370D5">
    <w:pPr>
      <w:pStyle w:val="7"/>
      <w:spacing w:line="14" w:lineRule="auto"/>
      <w:ind w:left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875665</wp:posOffset>
              </wp:positionH>
              <wp:positionV relativeFrom="page">
                <wp:posOffset>9248140</wp:posOffset>
              </wp:positionV>
              <wp:extent cx="751205" cy="139700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120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67C0E2">
                          <w:pPr>
                            <w:spacing w:before="0" w:line="203" w:lineRule="exact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ITPAC-AD-IT-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6" o:spt="202" type="#_x0000_t202" style="position:absolute;left:0pt;margin-left:68.95pt;margin-top:728.2pt;height:11pt;width:59.15pt;mso-position-horizontal-relative:page;mso-position-vertical-relative:page;z-index:-251657216;mso-width-relative:page;mso-height-relative:page;" filled="f" stroked="f" coordsize="21600,21600" o:gfxdata="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iEJH3tsAAAANAQAADwAAAAAAAAABACAAAAAiAAAAZHJzL2Rvd25yZXYueG1sUEsBAhQAFAAA&#10;AAgAh07iQEwXJIGzAQAAcwMAAA4AAAAAAAAAAQAgAAAAKg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767C0E2">
                    <w:pPr>
                      <w:spacing w:before="0" w:line="203" w:lineRule="exact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sz w:val="18"/>
                      </w:rPr>
                      <w:t>ITPAC-AD-IT-</w:t>
                    </w:r>
                    <w:r>
                      <w:rPr>
                        <w:b/>
                        <w:spacing w:val="-5"/>
                        <w:sz w:val="18"/>
                      </w:rPr>
                      <w:t>01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6572250</wp:posOffset>
              </wp:positionH>
              <wp:positionV relativeFrom="page">
                <wp:posOffset>9248140</wp:posOffset>
              </wp:positionV>
              <wp:extent cx="643255" cy="139700"/>
              <wp:effectExtent l="0" t="0" r="0" b="0"/>
              <wp:wrapNone/>
              <wp:docPr id="5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798AF0">
                          <w:pPr>
                            <w:spacing w:before="0" w:line="203" w:lineRule="exact"/>
                            <w:ind w:left="20" w:right="0" w:firstLine="0"/>
                            <w:jc w:val="left"/>
                            <w:rPr>
                              <w:rFonts w:hint="default"/>
                              <w:b/>
                              <w:sz w:val="18"/>
                              <w:lang w:val="es-MX"/>
                            </w:rPr>
                          </w:pPr>
                          <w:r>
                            <w:rPr>
                              <w:rFonts w:hint="default"/>
                              <w:b/>
                              <w:sz w:val="18"/>
                              <w:lang w:val="es-MX"/>
                            </w:rPr>
                            <w:t xml:space="preserve">   Ver.2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26" o:spt="202" type="#_x0000_t202" style="position:absolute;left:0pt;margin-left:517.5pt;margin-top:728.2pt;height:11pt;width:50.65pt;mso-position-horizontal-relative:page;mso-position-vertical-relative:page;z-index:-251656192;mso-width-relative:page;mso-height-relative:page;" filled="f" stroked="f" coordsize="21600,21600" o:gfxdata="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hPJ1DNwAAAAPAQAADwAAAAAAAAABACAAAAAiAAAAZHJzL2Rvd25yZXYueG1sUEsBAhQAFAAA&#10;AAgAh07iQAXWvgyyAQAAcwMAAA4AAAAAAAAAAQAgAAAAKw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9798AF0">
                    <w:pPr>
                      <w:spacing w:before="0" w:line="203" w:lineRule="exact"/>
                      <w:ind w:left="20" w:right="0" w:firstLine="0"/>
                      <w:jc w:val="left"/>
                      <w:rPr>
                        <w:rFonts w:hint="default"/>
                        <w:b/>
                        <w:sz w:val="18"/>
                        <w:lang w:val="es-MX"/>
                      </w:rPr>
                    </w:pPr>
                    <w:r>
                      <w:rPr>
                        <w:rFonts w:hint="default"/>
                        <w:b/>
                        <w:sz w:val="18"/>
                        <w:lang w:val="es-MX"/>
                      </w:rPr>
                      <w:t xml:space="preserve">   Ver.2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1710690</wp:posOffset>
              </wp:positionH>
              <wp:positionV relativeFrom="page">
                <wp:posOffset>9383395</wp:posOffset>
              </wp:positionV>
              <wp:extent cx="4426585" cy="127635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658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7061BB">
                          <w:pPr>
                            <w:spacing w:before="0" w:line="184" w:lineRule="exact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color w:val="808080"/>
                              <w:sz w:val="16"/>
                            </w:rPr>
                            <w:t>“Toda</w:t>
                          </w:r>
                          <w:r>
                            <w:rPr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copia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PAPEL</w:t>
                          </w:r>
                          <w:r>
                            <w:rPr>
                              <w:color w:val="8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ARCHIVO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ELECTRÓNICO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es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un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Documento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No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Controlado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excepción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del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2"/>
                              <w:sz w:val="16"/>
                            </w:rPr>
                            <w:t>original</w:t>
                          </w:r>
                          <w:r>
                            <w:rPr>
                              <w:b/>
                              <w:color w:val="808080"/>
                              <w:spacing w:val="-2"/>
                              <w:sz w:val="16"/>
                            </w:rPr>
                            <w:t>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26" o:spt="202" type="#_x0000_t202" style="position:absolute;left:0pt;margin-left:134.7pt;margin-top:738.85pt;height:10.05pt;width:348.55pt;mso-position-horizontal-relative:page;mso-position-vertical-relative:page;z-index:-251656192;mso-width-relative:page;mso-height-relative:page;" filled="f" stroked="f" coordsize="21600,21600" o:gfxdata="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o9ELadsAAAANAQAADwAAAAAAAAABACAAAAAiAAAAZHJzL2Rvd25yZXYueG1sUEsBAhQAFAAA&#10;AAgAh07iQBRX26SzAQAAdAMAAA4AAAAAAAAAAQAgAAAAKg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E7061BB">
                    <w:pPr>
                      <w:spacing w:before="0" w:line="184" w:lineRule="exact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color w:val="808080"/>
                        <w:sz w:val="16"/>
                      </w:rPr>
                      <w:t>“Toda</w:t>
                    </w:r>
                    <w:r>
                      <w:rPr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copia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PAPEL</w:t>
                    </w:r>
                    <w:r>
                      <w:rPr>
                        <w:color w:val="8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ARCHIVO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ELECTRÓNICO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es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un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Documento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No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Controlado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excepción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del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pacing w:val="-2"/>
                        <w:sz w:val="16"/>
                      </w:rPr>
                      <w:t>original</w:t>
                    </w:r>
                    <w:r>
                      <w:rPr>
                        <w:b/>
                        <w:color w:val="808080"/>
                        <w:spacing w:val="-2"/>
                        <w:sz w:val="16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0" w:type="auto"/>
      <w:tblInd w:w="82" w:type="dxa"/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000000" w:sz="18" w:space="0"/>
        <w:insideV w:val="single" w:color="000000" w:sz="18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1419"/>
      <w:gridCol w:w="2838"/>
      <w:gridCol w:w="1760"/>
      <w:gridCol w:w="4244"/>
    </w:tblGrid>
    <w:tr w14:paraId="2A4840AF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46" w:hRule="atLeast"/>
      </w:trPr>
      <w:tc>
        <w:tcPr>
          <w:tcW w:w="10261" w:type="dxa"/>
          <w:gridSpan w:val="4"/>
          <w:tcBorders>
            <w:bottom w:val="single" w:color="808080" w:sz="2" w:space="0"/>
          </w:tcBorders>
        </w:tcPr>
        <w:p w14:paraId="2937A12C">
          <w:pPr>
            <w:pStyle w:val="10"/>
            <w:spacing w:before="3" w:line="223" w:lineRule="exact"/>
            <w:ind w:left="39" w:right="3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Instituto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Tecnológico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de</w:t>
          </w:r>
          <w:r>
            <w:rPr>
              <w:b/>
              <w:spacing w:val="-8"/>
              <w:sz w:val="20"/>
            </w:rPr>
            <w:t xml:space="preserve"> </w:t>
          </w:r>
          <w:r>
            <w:rPr>
              <w:b/>
              <w:spacing w:val="-2"/>
              <w:sz w:val="20"/>
            </w:rPr>
            <w:t>Pachuca</w:t>
          </w:r>
        </w:p>
      </w:tc>
    </w:tr>
    <w:tr w14:paraId="4497D7DA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42" w:hRule="atLeast"/>
      </w:trPr>
      <w:tc>
        <w:tcPr>
          <w:tcW w:w="10261" w:type="dxa"/>
          <w:gridSpan w:val="4"/>
          <w:tcBorders>
            <w:top w:val="single" w:color="808080" w:sz="2" w:space="0"/>
            <w:bottom w:val="single" w:color="808080" w:sz="2" w:space="0"/>
          </w:tcBorders>
        </w:tcPr>
        <w:p w14:paraId="6B51FB0A">
          <w:pPr>
            <w:pStyle w:val="10"/>
            <w:spacing w:line="222" w:lineRule="exact"/>
            <w:ind w:left="39"/>
            <w:jc w:val="center"/>
            <w:rPr>
              <w:sz w:val="20"/>
            </w:rPr>
          </w:pPr>
          <w:r>
            <w:rPr>
              <w:sz w:val="20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margin">
                      <wp:posOffset>2986405</wp:posOffset>
                    </wp:positionH>
                    <wp:positionV relativeFrom="paragraph">
                      <wp:posOffset>635</wp:posOffset>
                    </wp:positionV>
                    <wp:extent cx="1828800" cy="1828800"/>
                    <wp:effectExtent l="0" t="0" r="0" b="0"/>
                    <wp:wrapSquare wrapText="bothSides"/>
                    <wp:docPr id="7" name="Cuadro de texto 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l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7CF6537">
                                <w:pPr>
                                  <w:pStyle w:val="6"/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235.15pt;margin-top:0.05pt;height:144pt;width:144pt;mso-position-horizontal-relative:margin;mso-wrap-distance-bottom:0pt;mso-wrap-distance-left:9pt;mso-wrap-distance-right:9pt;mso-wrap-distance-top:0pt;mso-wrap-style:none;z-index:251661312;mso-width-relative:page;mso-height-relative:page;" filled="f" stroked="f" coordsize="21600,21600" o:gfxdata="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p w14:paraId="17CF6537">
                          <w:pPr>
                            <w:pStyle w:val="6"/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</w:p>
      </w:tc>
    </w:tr>
    <w:tr w14:paraId="15BCE979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190" w:hRule="atLeast"/>
      </w:trPr>
      <w:tc>
        <w:tcPr>
          <w:tcW w:w="1419" w:type="dxa"/>
          <w:vMerge w:val="restart"/>
          <w:tcBorders>
            <w:top w:val="single" w:color="808080" w:sz="2" w:space="0"/>
            <w:right w:val="single" w:color="808080" w:sz="2" w:space="0"/>
          </w:tcBorders>
        </w:tcPr>
        <w:p w14:paraId="7B3FA091">
          <w:pPr>
            <w:pStyle w:val="10"/>
            <w:rPr>
              <w:rFonts w:ascii="Times New Roman"/>
              <w:sz w:val="20"/>
            </w:rPr>
          </w:pPr>
          <w:r>
            <w:rPr>
              <w:sz w:val="20"/>
            </w:rPr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241935</wp:posOffset>
                </wp:positionH>
                <wp:positionV relativeFrom="page">
                  <wp:posOffset>9525</wp:posOffset>
                </wp:positionV>
                <wp:extent cx="492760" cy="392430"/>
                <wp:effectExtent l="0" t="0" r="10160" b="3810"/>
                <wp:wrapNone/>
                <wp:docPr id="3" name="Imag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2760" cy="392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38" w:type="dxa"/>
          <w:tc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</w:tcBorders>
        </w:tcPr>
        <w:p w14:paraId="2DD81DFB">
          <w:pPr>
            <w:pStyle w:val="10"/>
            <w:spacing w:before="1" w:line="179" w:lineRule="exact"/>
            <w:ind w:left="568"/>
            <w:rPr>
              <w:b/>
              <w:sz w:val="18"/>
            </w:rPr>
          </w:pPr>
          <w:r>
            <w:rPr>
              <w:sz w:val="18"/>
            </w:rPr>
            <w:t>Código:</w:t>
          </w:r>
          <w:r>
            <w:rPr>
              <w:spacing w:val="-9"/>
              <w:sz w:val="18"/>
            </w:rPr>
            <w:t xml:space="preserve"> </w:t>
          </w:r>
          <w:r>
            <w:rPr>
              <w:b/>
              <w:sz w:val="18"/>
            </w:rPr>
            <w:t>ITPAC-AD-IT-</w:t>
          </w:r>
          <w:r>
            <w:rPr>
              <w:b/>
              <w:spacing w:val="-5"/>
              <w:sz w:val="18"/>
            </w:rPr>
            <w:t>01</w:t>
          </w:r>
        </w:p>
      </w:tc>
      <w:tc>
        <w:tcPr>
          <w:tcW w:w="1760" w:type="dxa"/>
          <w:tc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</w:tcBorders>
        </w:tcPr>
        <w:p w14:paraId="707503C6">
          <w:pPr>
            <w:pStyle w:val="10"/>
            <w:spacing w:before="1" w:line="179" w:lineRule="exact"/>
            <w:ind w:left="529"/>
            <w:rPr>
              <w:rFonts w:hint="default"/>
              <w:b/>
              <w:sz w:val="18"/>
              <w:lang w:val="es-MX"/>
            </w:rPr>
          </w:pPr>
          <w:r>
            <w:rPr>
              <w:sz w:val="18"/>
            </w:rPr>
            <w:t>Versión:</w:t>
          </w:r>
          <w:r>
            <w:rPr>
              <w:spacing w:val="-6"/>
              <w:sz w:val="18"/>
            </w:rPr>
            <w:t xml:space="preserve"> </w:t>
          </w:r>
          <w:r>
            <w:rPr>
              <w:rFonts w:hint="default"/>
              <w:spacing w:val="-6"/>
              <w:sz w:val="18"/>
              <w:lang w:val="es-MX"/>
            </w:rPr>
            <w:t>2</w:t>
          </w:r>
        </w:p>
      </w:tc>
      <w:tc>
        <w:tcPr>
          <w:tcW w:w="4244" w:type="dxa"/>
          <w:tcBorders>
            <w:top w:val="single" w:color="808080" w:sz="2" w:space="0"/>
            <w:left w:val="single" w:color="808080" w:sz="2" w:space="0"/>
            <w:bottom w:val="single" w:color="808080" w:sz="2" w:space="0"/>
          </w:tcBorders>
        </w:tcPr>
        <w:p w14:paraId="2BB45604">
          <w:pPr>
            <w:pStyle w:val="10"/>
            <w:rPr>
              <w:rFonts w:ascii="Times New Roman"/>
              <w:sz w:val="20"/>
            </w:rPr>
          </w:pPr>
          <w:r>
            <w:rPr>
              <w:rFonts w:hint="default" w:ascii="Calibri" w:hAnsi="Calibri" w:eastAsia="Arial" w:cs="Calibri"/>
              <w:b w:val="0"/>
              <w:bCs w:val="0"/>
              <w:sz w:val="18"/>
              <w:szCs w:val="18"/>
            </w:rPr>
            <w:t>Norma: ISO 9001:20</w:t>
          </w:r>
          <w:r>
            <w:rPr>
              <w:rFonts w:hint="default" w:ascii="Calibri" w:hAnsi="Calibri" w:eastAsia="Arial" w:cs="Calibri"/>
              <w:b w:val="0"/>
              <w:bCs w:val="0"/>
              <w:sz w:val="18"/>
              <w:szCs w:val="18"/>
              <w:lang w:val="es-MX"/>
            </w:rPr>
            <w:t>1</w:t>
          </w:r>
          <w:r>
            <w:rPr>
              <w:rFonts w:hint="default" w:ascii="Calibri" w:hAnsi="Calibri" w:eastAsia="Arial" w:cs="Calibri"/>
              <w:b w:val="0"/>
              <w:bCs w:val="0"/>
              <w:sz w:val="18"/>
              <w:szCs w:val="18"/>
            </w:rPr>
            <w:t xml:space="preserve">5 </w:t>
          </w:r>
          <w:r>
            <w:rPr>
              <w:rFonts w:hint="default" w:ascii="Calibri" w:hAnsi="Calibri" w:eastAsia="Arial" w:cs="Calibri"/>
              <w:b w:val="0"/>
              <w:bCs w:val="0"/>
              <w:sz w:val="18"/>
              <w:szCs w:val="18"/>
              <w:lang w:val="es-MX"/>
            </w:rPr>
            <w:t xml:space="preserve"> </w:t>
          </w:r>
          <w:r>
            <w:rPr>
              <w:rFonts w:hint="default" w:ascii="Calibri" w:hAnsi="Calibri" w:eastAsia="Arial" w:cs="Calibri"/>
              <w:b w:val="0"/>
              <w:bCs w:val="0"/>
              <w:color w:val="000000"/>
              <w:sz w:val="18"/>
              <w:szCs w:val="18"/>
            </w:rPr>
            <w:t>Requisitos:</w:t>
          </w:r>
          <w:r>
            <w:rPr>
              <w:rFonts w:hint="default" w:ascii="Calibri" w:hAnsi="Calibri" w:cs="Calibri"/>
              <w:b w:val="0"/>
              <w:bCs w:val="0"/>
              <w:color w:val="auto"/>
              <w:spacing w:val="-6"/>
              <w:sz w:val="18"/>
              <w:szCs w:val="18"/>
            </w:rPr>
            <w:t xml:space="preserve"> </w:t>
          </w:r>
          <w:r>
            <w:rPr>
              <w:rFonts w:hint="default" w:ascii="Calibri" w:hAnsi="Calibri" w:eastAsia="Calibri" w:cs="Calibri"/>
              <w:sz w:val="18"/>
              <w:szCs w:val="18"/>
            </w:rPr>
            <w:t>6.1, 7.1.1, 7.1.5.2, 8.2</w:t>
          </w:r>
        </w:p>
      </w:tc>
    </w:tr>
    <w:tr w14:paraId="77A4B845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376" w:hRule="atLeast"/>
      </w:trPr>
      <w:tc>
        <w:tcPr>
          <w:tcW w:w="1419" w:type="dxa"/>
          <w:vMerge w:val="continue"/>
          <w:tcBorders>
            <w:top w:val="nil"/>
            <w:right w:val="single" w:color="808080" w:sz="2" w:space="0"/>
          </w:tcBorders>
        </w:tcPr>
        <w:p w14:paraId="54B7D83D">
          <w:pPr>
            <w:rPr>
              <w:sz w:val="2"/>
              <w:szCs w:val="2"/>
            </w:rPr>
          </w:pPr>
        </w:p>
      </w:tc>
      <w:tc>
        <w:tcPr>
          <w:tcW w:w="8842" w:type="dxa"/>
          <w:gridSpan w:val="3"/>
          <w:tcBorders>
            <w:top w:val="single" w:color="808080" w:sz="2" w:space="0"/>
            <w:left w:val="single" w:color="808080" w:sz="2" w:space="0"/>
          </w:tcBorders>
        </w:tcPr>
        <w:p w14:paraId="20E9FF0C">
          <w:pPr>
            <w:pStyle w:val="10"/>
            <w:spacing w:line="253" w:lineRule="exact"/>
            <w:ind w:left="42" w:right="8"/>
            <w:jc w:val="center"/>
            <w:rPr>
              <w:sz w:val="2"/>
              <w:szCs w:val="2"/>
            </w:rPr>
          </w:pPr>
          <w:r>
            <w:rPr>
              <w:b/>
              <w:sz w:val="22"/>
            </w:rPr>
            <w:t>Instructivo</w:t>
          </w:r>
          <w:r>
            <w:rPr>
              <w:b/>
              <w:spacing w:val="-7"/>
              <w:sz w:val="22"/>
            </w:rPr>
            <w:t xml:space="preserve"> </w:t>
          </w:r>
          <w:r>
            <w:rPr>
              <w:b/>
              <w:sz w:val="22"/>
            </w:rPr>
            <w:t>de</w:t>
          </w:r>
          <w:r>
            <w:rPr>
              <w:b/>
              <w:spacing w:val="-7"/>
              <w:sz w:val="22"/>
            </w:rPr>
            <w:t xml:space="preserve"> </w:t>
          </w:r>
          <w:r>
            <w:rPr>
              <w:b/>
              <w:sz w:val="22"/>
            </w:rPr>
            <w:t>trabajo</w:t>
          </w:r>
          <w:r>
            <w:rPr>
              <w:b/>
              <w:spacing w:val="-6"/>
              <w:sz w:val="22"/>
            </w:rPr>
            <w:t xml:space="preserve"> </w:t>
          </w:r>
          <w:r>
            <w:rPr>
              <w:b/>
              <w:sz w:val="22"/>
            </w:rPr>
            <w:t>para</w:t>
          </w:r>
          <w:r>
            <w:rPr>
              <w:b/>
              <w:spacing w:val="-7"/>
              <w:sz w:val="22"/>
            </w:rPr>
            <w:t xml:space="preserve"> </w:t>
          </w:r>
          <w:r>
            <w:rPr>
              <w:b/>
              <w:sz w:val="22"/>
            </w:rPr>
            <w:t>la</w:t>
          </w:r>
          <w:r>
            <w:rPr>
              <w:b/>
              <w:spacing w:val="-6"/>
              <w:sz w:val="22"/>
            </w:rPr>
            <w:t xml:space="preserve"> </w:t>
          </w:r>
          <w:r>
            <w:rPr>
              <w:b/>
              <w:sz w:val="22"/>
            </w:rPr>
            <w:t>realización</w:t>
          </w:r>
          <w:r>
            <w:rPr>
              <w:b/>
              <w:spacing w:val="-6"/>
              <w:sz w:val="22"/>
            </w:rPr>
            <w:t xml:space="preserve"> </w:t>
          </w:r>
          <w:r>
            <w:rPr>
              <w:b/>
              <w:sz w:val="22"/>
            </w:rPr>
            <w:t>de</w:t>
          </w:r>
          <w:r>
            <w:rPr>
              <w:b/>
              <w:spacing w:val="-8"/>
              <w:sz w:val="22"/>
            </w:rPr>
            <w:t xml:space="preserve"> </w:t>
          </w:r>
          <w:r>
            <w:rPr>
              <w:b/>
              <w:sz w:val="22"/>
            </w:rPr>
            <w:t>Adquisiciones,</w:t>
          </w:r>
          <w:r>
            <w:rPr>
              <w:b/>
              <w:spacing w:val="-4"/>
              <w:sz w:val="22"/>
            </w:rPr>
            <w:t xml:space="preserve"> </w:t>
          </w:r>
          <w:r>
            <w:rPr>
              <w:b/>
              <w:sz w:val="22"/>
            </w:rPr>
            <w:t>Arrendamientos</w:t>
          </w:r>
          <w:r>
            <w:rPr>
              <w:b/>
              <w:spacing w:val="-7"/>
              <w:sz w:val="22"/>
            </w:rPr>
            <w:t xml:space="preserve"> </w:t>
          </w:r>
          <w:r>
            <w:rPr>
              <w:b/>
              <w:spacing w:val="-10"/>
              <w:sz w:val="22"/>
            </w:rPr>
            <w:t>y</w:t>
          </w:r>
          <w:r>
            <w:rPr>
              <w:rFonts w:hint="default"/>
              <w:b/>
              <w:spacing w:val="-10"/>
              <w:sz w:val="22"/>
              <w:lang w:val="es-MX"/>
            </w:rPr>
            <w:t xml:space="preserve">  </w:t>
          </w:r>
          <w:r>
            <w:rPr>
              <w:b/>
              <w:spacing w:val="-2"/>
              <w:sz w:val="22"/>
            </w:rPr>
            <w:t>Servicios</w:t>
          </w:r>
        </w:p>
      </w:tc>
    </w:tr>
  </w:tbl>
  <w:p w14:paraId="38FD4105">
    <w:pPr>
      <w:pStyle w:val="7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1073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2016" w:hanging="360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2952" w:hanging="360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3888" w:hanging="36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4824" w:hanging="36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5760" w:hanging="36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6696" w:hanging="36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7632" w:hanging="36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8568" w:hanging="360"/>
      </w:pPr>
      <w:rPr>
        <w:rFonts w:hint="default"/>
        <w:lang w:val="es-ES" w:eastAsia="en-US" w:bidi="ar-SA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1757" w:hanging="416"/>
        <w:jc w:val="right"/>
      </w:pPr>
      <w:rPr>
        <w:rFonts w:hint="default"/>
        <w:spacing w:val="-1"/>
        <w:w w:val="95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2628" w:hanging="416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3496" w:hanging="416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4364" w:hanging="416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5232" w:hanging="416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6100" w:hanging="416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6968" w:hanging="416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7836" w:hanging="416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8704" w:hanging="416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67250F9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es-ES" w:eastAsia="en-US" w:bidi="ar-SA"/>
    </w:rPr>
  </w:style>
  <w:style w:type="paragraph" w:styleId="2">
    <w:name w:val="heading 1"/>
    <w:basedOn w:val="1"/>
    <w:qFormat/>
    <w:uiPriority w:val="1"/>
    <w:pPr>
      <w:ind w:left="659" w:hanging="359"/>
      <w:outlineLvl w:val="1"/>
    </w:pPr>
    <w:rPr>
      <w:rFonts w:ascii="Calibri" w:hAnsi="Calibri" w:eastAsia="Calibri" w:cs="Calibri"/>
      <w:b/>
      <w:bCs/>
      <w:sz w:val="24"/>
      <w:szCs w:val="24"/>
      <w:lang w:val="es-ES" w:eastAsia="en-US" w:bidi="ar-SA"/>
    </w:rPr>
  </w:style>
  <w:style w:type="paragraph" w:styleId="3">
    <w:name w:val="heading 2"/>
    <w:basedOn w:val="1"/>
    <w:qFormat/>
    <w:uiPriority w:val="1"/>
    <w:pPr>
      <w:spacing w:before="54"/>
      <w:ind w:left="1073"/>
      <w:outlineLvl w:val="2"/>
    </w:pPr>
    <w:rPr>
      <w:rFonts w:ascii="Calibri" w:hAnsi="Calibri" w:eastAsia="Calibri" w:cs="Calibri"/>
      <w:b/>
      <w:bCs/>
      <w:sz w:val="22"/>
      <w:szCs w:val="22"/>
      <w:lang w:val="es-E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7">
    <w:name w:val="Body Text"/>
    <w:basedOn w:val="1"/>
    <w:qFormat/>
    <w:uiPriority w:val="1"/>
    <w:pPr>
      <w:ind w:left="1073"/>
      <w:jc w:val="both"/>
    </w:pPr>
    <w:rPr>
      <w:rFonts w:ascii="Calibri" w:hAnsi="Calibri" w:eastAsia="Calibri" w:cs="Calibri"/>
      <w:sz w:val="22"/>
      <w:szCs w:val="22"/>
      <w:lang w:val="es-ES" w:eastAsia="en-US" w:bidi="ar-SA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ind w:left="1073" w:right="614" w:hanging="360"/>
      <w:jc w:val="both"/>
    </w:pPr>
    <w:rPr>
      <w:rFonts w:ascii="Calibri" w:hAnsi="Calibri" w:eastAsia="Calibri" w:cs="Calibri"/>
      <w:lang w:val="es-ES" w:eastAsia="en-US" w:bidi="ar-SA"/>
    </w:rPr>
  </w:style>
  <w:style w:type="paragraph" w:customStyle="1" w:styleId="10">
    <w:name w:val="Table Paragraph"/>
    <w:basedOn w:val="1"/>
    <w:qFormat/>
    <w:uiPriority w:val="1"/>
    <w:rPr>
      <w:rFonts w:ascii="Calibri" w:hAnsi="Calibri" w:eastAsia="Calibri" w:cs="Calibri"/>
      <w:lang w:val="es-ES" w:eastAsia="en-US" w:bidi="ar-SA"/>
    </w:rPr>
  </w:style>
  <w:style w:type="table" w:customStyle="1" w:styleId="11">
    <w:name w:val="_Style 21"/>
    <w:basedOn w:val="12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781</Words>
  <Characters>4385</Characters>
  <TotalTime>0</TotalTime>
  <ScaleCrop>false</ScaleCrop>
  <LinksUpToDate>false</LinksUpToDate>
  <CharactersWithSpaces>5096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2026-07-16T05:59:00Z</dcterms:created>
  <dc:creator>LAURA</dc:creator>
  <cp:lastModifiedBy>Emiliano UrrutiaMuñoz</cp:lastModifiedBy>
  <dcterms:modified xsi:type="dcterms:W3CDTF">2026-07-16T06:15:02Z</dcterms:modified>
  <dc:title>Nombre del Documento: Instructivo de Trabajo del SGC para la Realización de Compras Directas Código: SNEST-AD-IT-01 Revisión 1 Referencia a la Norma ISO 9001:2000 7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2025-05-17T00:00:00Z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2026-07-16T00:00:00Z</vt:filetime>
  </property>
  <property fmtid="{D5CDD505-2E9C-101B-9397-08002B2CF9AE}" pid="6" name="Producer">
    <vt:lpwstr>Microsoft® Word LTSC</vt:lpwstr>
  </property>
  <property fmtid="{D5CDD505-2E9C-101B-9397-08002B2CF9AE}" pid="7" name="KSOTemplateDocerSaveRecord">
    <vt:lpwstr>eyJoZGlkIjoiZmMyNDU4YWU0MTA3MjdhOTA4ZjE0NTQ0NmM5MjA0M2QiLCJ1c2VySWQiOiIxNTI5NzQ2NzI5MTg1In0=</vt:lpwstr>
  </property>
  <property fmtid="{D5CDD505-2E9C-101B-9397-08002B2CF9AE}" pid="8" name="KSOProductBuildVer">
    <vt:lpwstr>2058-12.1.0.26886</vt:lpwstr>
  </property>
  <property fmtid="{D5CDD505-2E9C-101B-9397-08002B2CF9AE}" pid="9" name="ICV">
    <vt:lpwstr>D9675B59AF094CD1A56D1202A203709C_12</vt:lpwstr>
  </property>
</Properties>
</file>